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47" w:type="dxa"/>
        <w:tblLook w:val="01E0" w:firstRow="1" w:lastRow="1" w:firstColumn="1" w:lastColumn="1" w:noHBand="0" w:noVBand="0"/>
      </w:tblPr>
      <w:tblGrid>
        <w:gridCol w:w="568"/>
        <w:gridCol w:w="9497"/>
      </w:tblGrid>
      <w:tr w:rsidR="008C1855" w:rsidRPr="00035058" w14:paraId="11769C7C" w14:textId="77777777" w:rsidTr="00523F25">
        <w:tc>
          <w:tcPr>
            <w:tcW w:w="10065" w:type="dxa"/>
            <w:gridSpan w:val="2"/>
          </w:tcPr>
          <w:p w14:paraId="7D1E60DB" w14:textId="32C7E521" w:rsidR="008C1855" w:rsidRPr="005A6CBE" w:rsidRDefault="00F60460" w:rsidP="005A6CBE">
            <w:pPr>
              <w:pStyle w:val="NoSpacing"/>
              <w:jc w:val="right"/>
              <w:rPr>
                <w:rFonts w:cs="Arial"/>
                <w:b/>
                <w:bCs/>
                <w:szCs w:val="24"/>
                <w:lang w:eastAsia="en-GB"/>
              </w:rPr>
            </w:pPr>
            <w:r w:rsidRPr="005A6CBE">
              <w:rPr>
                <w:rFonts w:cs="Arial"/>
                <w:b/>
                <w:bCs/>
                <w:szCs w:val="24"/>
                <w:lang w:eastAsia="en-GB"/>
              </w:rPr>
              <w:t>21/06/24</w:t>
            </w:r>
          </w:p>
        </w:tc>
      </w:tr>
      <w:tr w:rsidR="002B3B3D" w:rsidRPr="00035058" w14:paraId="6EEE6F08" w14:textId="77777777" w:rsidTr="00523F25">
        <w:tc>
          <w:tcPr>
            <w:tcW w:w="10065" w:type="dxa"/>
            <w:gridSpan w:val="2"/>
          </w:tcPr>
          <w:p w14:paraId="1CA13156" w14:textId="77777777" w:rsidR="002B3B3D" w:rsidRPr="00035058" w:rsidRDefault="002B3B3D" w:rsidP="00035058">
            <w:pPr>
              <w:pStyle w:val="NoSpacing"/>
              <w:rPr>
                <w:rFonts w:cs="Arial"/>
                <w:szCs w:val="24"/>
                <w:lang w:eastAsia="en-GB"/>
              </w:rPr>
            </w:pPr>
          </w:p>
        </w:tc>
      </w:tr>
      <w:tr w:rsidR="008C1855" w:rsidRPr="00035058" w14:paraId="46A57CE7" w14:textId="77777777" w:rsidTr="00523F25">
        <w:tc>
          <w:tcPr>
            <w:tcW w:w="10065" w:type="dxa"/>
            <w:gridSpan w:val="2"/>
            <w:hideMark/>
          </w:tcPr>
          <w:p w14:paraId="6E9A7A72" w14:textId="6E7270CE" w:rsidR="00F60460" w:rsidRPr="005A6CBE" w:rsidRDefault="00F60460" w:rsidP="00035058">
            <w:pPr>
              <w:pStyle w:val="NoSpacing"/>
              <w:rPr>
                <w:rFonts w:cs="Arial"/>
                <w:b/>
                <w:bCs/>
                <w:szCs w:val="24"/>
                <w:lang w:eastAsia="en-GB"/>
              </w:rPr>
            </w:pPr>
            <w:r w:rsidRPr="005A6CBE">
              <w:rPr>
                <w:rFonts w:cs="Arial"/>
                <w:b/>
                <w:bCs/>
                <w:szCs w:val="24"/>
                <w:lang w:eastAsia="en-GB"/>
              </w:rPr>
              <w:t>Complaints Performance and Service Improvement</w:t>
            </w:r>
          </w:p>
          <w:p w14:paraId="0E5DFC52" w14:textId="179DE9AC" w:rsidR="00F60460" w:rsidRPr="00035058" w:rsidRDefault="00F60460" w:rsidP="00035058">
            <w:pPr>
              <w:pStyle w:val="NoSpacing"/>
              <w:rPr>
                <w:rFonts w:cs="Arial"/>
                <w:szCs w:val="24"/>
                <w:lang w:eastAsia="en-GB"/>
              </w:rPr>
            </w:pPr>
            <w:r w:rsidRPr="005A6CBE">
              <w:rPr>
                <w:rFonts w:cs="Arial"/>
                <w:b/>
                <w:bCs/>
                <w:szCs w:val="24"/>
                <w:lang w:eastAsia="en-GB"/>
              </w:rPr>
              <w:t>Annual Report April 2023 – March 2024</w:t>
            </w:r>
          </w:p>
        </w:tc>
      </w:tr>
      <w:tr w:rsidR="008C1855" w:rsidRPr="00035058" w14:paraId="2E7E474E" w14:textId="77777777" w:rsidTr="00523F25">
        <w:tc>
          <w:tcPr>
            <w:tcW w:w="10065" w:type="dxa"/>
            <w:gridSpan w:val="2"/>
          </w:tcPr>
          <w:p w14:paraId="55B57CB6" w14:textId="77777777" w:rsidR="00F60460" w:rsidRPr="00035058" w:rsidRDefault="00F60460" w:rsidP="00035058">
            <w:pPr>
              <w:pStyle w:val="NoSpacing"/>
              <w:rPr>
                <w:rFonts w:cs="Arial"/>
                <w:szCs w:val="24"/>
                <w:lang w:eastAsia="en-GB"/>
              </w:rPr>
            </w:pPr>
          </w:p>
        </w:tc>
      </w:tr>
      <w:tr w:rsidR="00F60460" w:rsidRPr="00035058" w14:paraId="40AE2259" w14:textId="77777777" w:rsidTr="00523F25">
        <w:tc>
          <w:tcPr>
            <w:tcW w:w="568" w:type="dxa"/>
          </w:tcPr>
          <w:p w14:paraId="61DE5143" w14:textId="77777777" w:rsidR="00F60460" w:rsidRPr="00035058" w:rsidRDefault="00F60460" w:rsidP="00035058">
            <w:pPr>
              <w:pStyle w:val="NoSpacing"/>
              <w:rPr>
                <w:rFonts w:cs="Arial"/>
                <w:szCs w:val="24"/>
                <w:lang w:eastAsia="en-GB"/>
              </w:rPr>
            </w:pPr>
          </w:p>
        </w:tc>
        <w:tc>
          <w:tcPr>
            <w:tcW w:w="9497" w:type="dxa"/>
          </w:tcPr>
          <w:p w14:paraId="28E051C8" w14:textId="77777777" w:rsidR="00F60460" w:rsidRPr="00035058" w:rsidRDefault="00F60460" w:rsidP="00035058">
            <w:pPr>
              <w:pStyle w:val="NoSpacing"/>
              <w:rPr>
                <w:rFonts w:cs="Arial"/>
                <w:szCs w:val="24"/>
                <w:lang w:eastAsia="en-GB"/>
              </w:rPr>
            </w:pPr>
          </w:p>
        </w:tc>
      </w:tr>
      <w:tr w:rsidR="008C1855" w:rsidRPr="00035058" w14:paraId="3BB8D965" w14:textId="77777777" w:rsidTr="00523F25">
        <w:tc>
          <w:tcPr>
            <w:tcW w:w="568" w:type="dxa"/>
          </w:tcPr>
          <w:p w14:paraId="3D825879" w14:textId="77777777" w:rsidR="008C1855" w:rsidRPr="00035058" w:rsidRDefault="003A0CDD" w:rsidP="00035058">
            <w:pPr>
              <w:pStyle w:val="NoSpacing"/>
              <w:rPr>
                <w:rFonts w:cs="Arial"/>
                <w:b/>
                <w:szCs w:val="24"/>
                <w:lang w:eastAsia="en-GB"/>
              </w:rPr>
            </w:pPr>
            <w:r w:rsidRPr="00035058">
              <w:rPr>
                <w:rFonts w:cs="Arial"/>
                <w:b/>
                <w:szCs w:val="24"/>
                <w:lang w:eastAsia="en-GB"/>
              </w:rPr>
              <w:t>1</w:t>
            </w:r>
          </w:p>
        </w:tc>
        <w:tc>
          <w:tcPr>
            <w:tcW w:w="9497" w:type="dxa"/>
          </w:tcPr>
          <w:p w14:paraId="4C88EB54" w14:textId="13DBDCE2" w:rsidR="008C1855" w:rsidRPr="00035058" w:rsidRDefault="00F60460" w:rsidP="00035058">
            <w:pPr>
              <w:pStyle w:val="NoSpacing"/>
              <w:rPr>
                <w:rFonts w:cs="Arial"/>
                <w:b/>
                <w:szCs w:val="24"/>
                <w:lang w:eastAsia="en-GB"/>
              </w:rPr>
            </w:pPr>
            <w:r w:rsidRPr="00035058">
              <w:rPr>
                <w:rFonts w:cs="Arial"/>
                <w:b/>
                <w:szCs w:val="24"/>
                <w:lang w:eastAsia="en-GB"/>
              </w:rPr>
              <w:t>Liversage Trust self-assessment in line with Housing Ombudsman’s Complaint Handling Code</w:t>
            </w:r>
          </w:p>
        </w:tc>
      </w:tr>
      <w:tr w:rsidR="003A0CDD" w:rsidRPr="00035058" w14:paraId="48BB5B8C" w14:textId="77777777" w:rsidTr="00523F25">
        <w:tc>
          <w:tcPr>
            <w:tcW w:w="568" w:type="dxa"/>
          </w:tcPr>
          <w:p w14:paraId="3D78D667" w14:textId="77777777" w:rsidR="003A0CDD" w:rsidRPr="00035058" w:rsidRDefault="003A0CDD" w:rsidP="00035058">
            <w:pPr>
              <w:pStyle w:val="NoSpacing"/>
              <w:rPr>
                <w:rFonts w:cs="Arial"/>
                <w:szCs w:val="24"/>
                <w:lang w:eastAsia="en-GB"/>
              </w:rPr>
            </w:pPr>
          </w:p>
        </w:tc>
        <w:tc>
          <w:tcPr>
            <w:tcW w:w="9497" w:type="dxa"/>
          </w:tcPr>
          <w:p w14:paraId="5FC5F7AC" w14:textId="77777777" w:rsidR="003A0CDD" w:rsidRPr="00035058" w:rsidRDefault="003A0CDD" w:rsidP="00035058">
            <w:pPr>
              <w:pStyle w:val="NoSpacing"/>
              <w:rPr>
                <w:rFonts w:cs="Arial"/>
                <w:szCs w:val="24"/>
                <w:lang w:eastAsia="en-GB"/>
              </w:rPr>
            </w:pPr>
          </w:p>
        </w:tc>
      </w:tr>
      <w:tr w:rsidR="00035058" w:rsidRPr="00035058" w14:paraId="66F510A4" w14:textId="77777777" w:rsidTr="00523F25">
        <w:tc>
          <w:tcPr>
            <w:tcW w:w="568" w:type="dxa"/>
          </w:tcPr>
          <w:p w14:paraId="16D9E41E" w14:textId="0BAA8614" w:rsidR="00035058" w:rsidRPr="00035058" w:rsidRDefault="00401174" w:rsidP="00035058">
            <w:pPr>
              <w:pStyle w:val="NoSpacing"/>
              <w:rPr>
                <w:rFonts w:cs="Arial"/>
                <w:szCs w:val="24"/>
                <w:lang w:eastAsia="en-GB"/>
              </w:rPr>
            </w:pPr>
            <w:r>
              <w:rPr>
                <w:rFonts w:cs="Arial"/>
                <w:szCs w:val="24"/>
                <w:lang w:eastAsia="en-GB"/>
              </w:rPr>
              <w:t>1.1</w:t>
            </w:r>
          </w:p>
        </w:tc>
        <w:tc>
          <w:tcPr>
            <w:tcW w:w="9497" w:type="dxa"/>
          </w:tcPr>
          <w:p w14:paraId="4010FE35" w14:textId="24F0804C" w:rsidR="00035058" w:rsidRPr="00035058" w:rsidRDefault="00035058" w:rsidP="00035058">
            <w:pPr>
              <w:pStyle w:val="NoSpacing"/>
              <w:rPr>
                <w:rFonts w:cs="Arial"/>
                <w:szCs w:val="24"/>
                <w:lang w:eastAsia="en-GB"/>
              </w:rPr>
            </w:pPr>
            <w:r w:rsidRPr="00035058">
              <w:rPr>
                <w:rFonts w:cs="Arial"/>
                <w:szCs w:val="24"/>
                <w:shd w:val="clear" w:color="auto" w:fill="FFFFFF"/>
                <w:lang w:val="en"/>
              </w:rPr>
              <w:t>The Social Housing (Regulation) Act 2023 introduced a range of measures that R</w:t>
            </w:r>
            <w:r w:rsidR="005A6CBE">
              <w:rPr>
                <w:rStyle w:val="hgkelc"/>
                <w:rFonts w:cs="Arial"/>
                <w:szCs w:val="24"/>
                <w:shd w:val="clear" w:color="auto" w:fill="FFFFFF"/>
                <w:lang w:val="en"/>
              </w:rPr>
              <w:t xml:space="preserve">egistered Social Landlords (RSL’s) </w:t>
            </w:r>
            <w:r w:rsidRPr="00035058">
              <w:rPr>
                <w:rFonts w:cs="Arial"/>
                <w:szCs w:val="24"/>
                <w:shd w:val="clear" w:color="auto" w:fill="FFFFFF"/>
                <w:lang w:val="en"/>
              </w:rPr>
              <w:t>must adhere to and was aimed at improving the management of social housing, particularly focusing on new social housing standards that aim to avoid dangerous hazards impacting on tenants</w:t>
            </w:r>
            <w:r w:rsidR="00F53CBE" w:rsidRPr="00035058">
              <w:rPr>
                <w:rFonts w:cs="Arial"/>
                <w:szCs w:val="24"/>
                <w:shd w:val="clear" w:color="auto" w:fill="FFFFFF"/>
                <w:lang w:val="en"/>
              </w:rPr>
              <w:t xml:space="preserve">. </w:t>
            </w:r>
            <w:r w:rsidRPr="00035058">
              <w:rPr>
                <w:rFonts w:cs="Arial"/>
                <w:szCs w:val="24"/>
                <w:shd w:val="clear" w:color="auto" w:fill="FFFFFF"/>
                <w:lang w:val="en"/>
              </w:rPr>
              <w:t>The act also gave the Housing Ombudsman new powers and duties from 1 April 2024, including a new statutory code for handling complaints</w:t>
            </w:r>
            <w:r w:rsidR="005A6CBE">
              <w:rPr>
                <w:rStyle w:val="hgkelc"/>
                <w:rFonts w:cs="Arial"/>
                <w:szCs w:val="24"/>
                <w:shd w:val="clear" w:color="auto" w:fill="FFFFFF"/>
                <w:lang w:val="en"/>
              </w:rPr>
              <w:t>,</w:t>
            </w:r>
            <w:r w:rsidRPr="00035058">
              <w:rPr>
                <w:rFonts w:cs="Arial"/>
                <w:szCs w:val="24"/>
                <w:shd w:val="clear" w:color="auto" w:fill="FFFFFF"/>
                <w:lang w:val="en"/>
              </w:rPr>
              <w:t xml:space="preserve"> and a duty to monitor whether landlords comply. </w:t>
            </w:r>
          </w:p>
        </w:tc>
      </w:tr>
      <w:tr w:rsidR="00035058" w:rsidRPr="00035058" w14:paraId="350662C5" w14:textId="77777777" w:rsidTr="00523F25">
        <w:tc>
          <w:tcPr>
            <w:tcW w:w="568" w:type="dxa"/>
          </w:tcPr>
          <w:p w14:paraId="0C633032" w14:textId="77777777" w:rsidR="00035058" w:rsidRPr="00035058" w:rsidRDefault="00035058" w:rsidP="00035058">
            <w:pPr>
              <w:pStyle w:val="NoSpacing"/>
              <w:rPr>
                <w:rFonts w:cs="Arial"/>
                <w:szCs w:val="24"/>
                <w:lang w:eastAsia="en-GB"/>
              </w:rPr>
            </w:pPr>
          </w:p>
        </w:tc>
        <w:tc>
          <w:tcPr>
            <w:tcW w:w="9497" w:type="dxa"/>
          </w:tcPr>
          <w:p w14:paraId="543CA157" w14:textId="77777777" w:rsidR="00035058" w:rsidRPr="00035058" w:rsidRDefault="00035058" w:rsidP="00035058">
            <w:pPr>
              <w:pStyle w:val="NoSpacing"/>
              <w:rPr>
                <w:rFonts w:cs="Arial"/>
                <w:szCs w:val="24"/>
                <w:lang w:eastAsia="en-GB"/>
              </w:rPr>
            </w:pPr>
          </w:p>
        </w:tc>
      </w:tr>
      <w:tr w:rsidR="00B02E7E" w:rsidRPr="00035058" w14:paraId="3E8159D8" w14:textId="77777777" w:rsidTr="00523F25">
        <w:tc>
          <w:tcPr>
            <w:tcW w:w="568" w:type="dxa"/>
          </w:tcPr>
          <w:p w14:paraId="1EDEF09D" w14:textId="521EA3FA" w:rsidR="00B02E7E" w:rsidRPr="00035058" w:rsidRDefault="00401174" w:rsidP="00035058">
            <w:pPr>
              <w:pStyle w:val="NoSpacing"/>
              <w:rPr>
                <w:rFonts w:cs="Arial"/>
                <w:szCs w:val="24"/>
                <w:lang w:eastAsia="en-GB"/>
              </w:rPr>
            </w:pPr>
            <w:r>
              <w:rPr>
                <w:rFonts w:cs="Arial"/>
                <w:szCs w:val="24"/>
                <w:lang w:eastAsia="en-GB"/>
              </w:rPr>
              <w:t>1.2</w:t>
            </w:r>
          </w:p>
        </w:tc>
        <w:tc>
          <w:tcPr>
            <w:tcW w:w="9497" w:type="dxa"/>
          </w:tcPr>
          <w:p w14:paraId="69C17A65" w14:textId="0878190B" w:rsidR="00B02E7E" w:rsidRPr="00035058" w:rsidRDefault="00B02E7E" w:rsidP="00035058">
            <w:pPr>
              <w:pStyle w:val="NoSpacing"/>
              <w:rPr>
                <w:rFonts w:cs="Arial"/>
                <w:szCs w:val="24"/>
                <w:lang w:eastAsia="en-GB"/>
              </w:rPr>
            </w:pPr>
            <w:r w:rsidRPr="00035058">
              <w:rPr>
                <w:rFonts w:cs="Arial"/>
                <w:szCs w:val="24"/>
                <w:lang w:eastAsia="en-GB"/>
              </w:rPr>
              <w:t>While the Liversage Trust is not a Registered Social Landlord (RSL)</w:t>
            </w:r>
            <w:r w:rsidR="001177AC" w:rsidRPr="00035058">
              <w:rPr>
                <w:rFonts w:cs="Arial"/>
                <w:szCs w:val="24"/>
                <w:lang w:eastAsia="en-GB"/>
              </w:rPr>
              <w:t xml:space="preserve">, </w:t>
            </w:r>
            <w:r w:rsidR="007F11E6">
              <w:rPr>
                <w:rFonts w:cs="Arial"/>
                <w:szCs w:val="24"/>
                <w:lang w:eastAsia="en-GB"/>
              </w:rPr>
              <w:t xml:space="preserve">having de-registered several years ago, </w:t>
            </w:r>
            <w:r w:rsidR="001177AC" w:rsidRPr="00035058">
              <w:rPr>
                <w:rFonts w:cs="Arial"/>
                <w:szCs w:val="24"/>
                <w:lang w:eastAsia="en-GB"/>
              </w:rPr>
              <w:t>we remain a mandatory member of the Housing Ombudsman</w:t>
            </w:r>
            <w:r w:rsidR="005A6CBE">
              <w:rPr>
                <w:rFonts w:cs="Arial"/>
                <w:szCs w:val="24"/>
                <w:lang w:eastAsia="en-GB"/>
              </w:rPr>
              <w:t xml:space="preserve"> scheme</w:t>
            </w:r>
            <w:r w:rsidR="007F11E6">
              <w:rPr>
                <w:rFonts w:cs="Arial"/>
                <w:szCs w:val="24"/>
                <w:lang w:eastAsia="en-GB"/>
              </w:rPr>
              <w:t xml:space="preserve">.  It </w:t>
            </w:r>
            <w:r w:rsidR="005A6CBE">
              <w:rPr>
                <w:rFonts w:cs="Arial"/>
                <w:szCs w:val="24"/>
                <w:lang w:eastAsia="en-GB"/>
              </w:rPr>
              <w:t xml:space="preserve">is a condition of our membership that we meet all requirements, including </w:t>
            </w:r>
            <w:r w:rsidR="001177AC" w:rsidRPr="00035058">
              <w:rPr>
                <w:rFonts w:cs="Arial"/>
                <w:szCs w:val="24"/>
                <w:lang w:eastAsia="en-GB"/>
              </w:rPr>
              <w:t>hav</w:t>
            </w:r>
            <w:r w:rsidR="005A6CBE">
              <w:rPr>
                <w:rFonts w:cs="Arial"/>
                <w:szCs w:val="24"/>
                <w:lang w:eastAsia="en-GB"/>
              </w:rPr>
              <w:t xml:space="preserve">ing </w:t>
            </w:r>
            <w:r w:rsidR="001177AC" w:rsidRPr="00035058">
              <w:rPr>
                <w:rFonts w:cs="Arial"/>
                <w:szCs w:val="24"/>
                <w:lang w:eastAsia="en-GB"/>
              </w:rPr>
              <w:t xml:space="preserve">a complaint policy for our </w:t>
            </w:r>
            <w:r w:rsidR="00401174">
              <w:rPr>
                <w:rFonts w:cs="Arial"/>
                <w:szCs w:val="24"/>
                <w:lang w:eastAsia="en-GB"/>
              </w:rPr>
              <w:t xml:space="preserve">163 </w:t>
            </w:r>
            <w:r w:rsidR="001177AC" w:rsidRPr="00035058">
              <w:rPr>
                <w:rFonts w:cs="Arial"/>
                <w:szCs w:val="24"/>
                <w:lang w:eastAsia="en-GB"/>
              </w:rPr>
              <w:t xml:space="preserve">almshouse properties that is compliant with the </w:t>
            </w:r>
            <w:r w:rsidR="005A6CBE">
              <w:rPr>
                <w:rFonts w:cs="Arial"/>
                <w:szCs w:val="24"/>
                <w:lang w:eastAsia="en-GB"/>
              </w:rPr>
              <w:t xml:space="preserve">new </w:t>
            </w:r>
            <w:r w:rsidR="001177AC" w:rsidRPr="00035058">
              <w:rPr>
                <w:rFonts w:cs="Arial"/>
                <w:szCs w:val="24"/>
                <w:lang w:eastAsia="en-GB"/>
              </w:rPr>
              <w:t>Statutory Complaint Handling Code</w:t>
            </w:r>
            <w:r w:rsidR="007F11E6">
              <w:rPr>
                <w:rFonts w:cs="Arial"/>
                <w:szCs w:val="24"/>
                <w:lang w:eastAsia="en-GB"/>
              </w:rPr>
              <w:t xml:space="preserve">, irrespective of the </w:t>
            </w:r>
            <w:r w:rsidR="000E1C10">
              <w:rPr>
                <w:rFonts w:cs="Arial"/>
                <w:szCs w:val="24"/>
                <w:lang w:eastAsia="en-GB"/>
              </w:rPr>
              <w:t xml:space="preserve">small </w:t>
            </w:r>
            <w:r w:rsidR="007F11E6">
              <w:rPr>
                <w:rFonts w:cs="Arial"/>
                <w:szCs w:val="24"/>
                <w:lang w:eastAsia="en-GB"/>
              </w:rPr>
              <w:t>size of the organisation</w:t>
            </w:r>
            <w:r w:rsidR="00401174">
              <w:rPr>
                <w:rFonts w:cs="Arial"/>
                <w:szCs w:val="24"/>
                <w:lang w:eastAsia="en-GB"/>
              </w:rPr>
              <w:t xml:space="preserve">. </w:t>
            </w:r>
            <w:r w:rsidR="001177AC" w:rsidRPr="00035058">
              <w:rPr>
                <w:rFonts w:cs="Arial"/>
                <w:szCs w:val="24"/>
                <w:lang w:eastAsia="en-GB"/>
              </w:rPr>
              <w:t xml:space="preserve"> </w:t>
            </w:r>
          </w:p>
        </w:tc>
      </w:tr>
      <w:tr w:rsidR="00B02E7E" w:rsidRPr="00035058" w14:paraId="4D7EFFC8" w14:textId="77777777" w:rsidTr="00523F25">
        <w:tc>
          <w:tcPr>
            <w:tcW w:w="568" w:type="dxa"/>
          </w:tcPr>
          <w:p w14:paraId="202952E0" w14:textId="77777777" w:rsidR="00B02E7E" w:rsidRPr="00035058" w:rsidRDefault="00B02E7E" w:rsidP="00035058">
            <w:pPr>
              <w:pStyle w:val="NoSpacing"/>
              <w:rPr>
                <w:rFonts w:cs="Arial"/>
                <w:szCs w:val="24"/>
                <w:lang w:eastAsia="en-GB"/>
              </w:rPr>
            </w:pPr>
          </w:p>
        </w:tc>
        <w:tc>
          <w:tcPr>
            <w:tcW w:w="9497" w:type="dxa"/>
          </w:tcPr>
          <w:p w14:paraId="6C5D2C72" w14:textId="77777777" w:rsidR="00B02E7E" w:rsidRPr="00035058" w:rsidRDefault="00B02E7E" w:rsidP="00035058">
            <w:pPr>
              <w:pStyle w:val="NoSpacing"/>
              <w:rPr>
                <w:rFonts w:cs="Arial"/>
                <w:szCs w:val="24"/>
                <w:lang w:eastAsia="en-GB"/>
              </w:rPr>
            </w:pPr>
          </w:p>
        </w:tc>
      </w:tr>
      <w:tr w:rsidR="001177AC" w:rsidRPr="00035058" w14:paraId="2F3CFEBF" w14:textId="77777777" w:rsidTr="00523F25">
        <w:tc>
          <w:tcPr>
            <w:tcW w:w="568" w:type="dxa"/>
          </w:tcPr>
          <w:p w14:paraId="499A1D5F" w14:textId="5B6A0446" w:rsidR="001177AC" w:rsidRPr="00035058" w:rsidRDefault="00401174" w:rsidP="00035058">
            <w:pPr>
              <w:pStyle w:val="NoSpacing"/>
              <w:rPr>
                <w:rFonts w:cs="Arial"/>
                <w:szCs w:val="24"/>
                <w:lang w:eastAsia="en-GB"/>
              </w:rPr>
            </w:pPr>
            <w:r>
              <w:rPr>
                <w:rFonts w:cs="Arial"/>
                <w:szCs w:val="24"/>
                <w:lang w:eastAsia="en-GB"/>
              </w:rPr>
              <w:t>1.3</w:t>
            </w:r>
          </w:p>
        </w:tc>
        <w:tc>
          <w:tcPr>
            <w:tcW w:w="9497" w:type="dxa"/>
          </w:tcPr>
          <w:p w14:paraId="3865AA24" w14:textId="599F8B8F" w:rsidR="001177AC" w:rsidRPr="00035058" w:rsidRDefault="005A6CBE" w:rsidP="00035058">
            <w:pPr>
              <w:pStyle w:val="NoSpacing"/>
              <w:rPr>
                <w:rFonts w:cs="Arial"/>
                <w:szCs w:val="24"/>
                <w:lang w:eastAsia="en-GB"/>
              </w:rPr>
            </w:pPr>
            <w:r>
              <w:rPr>
                <w:rFonts w:cs="Arial"/>
                <w:szCs w:val="24"/>
                <w:lang w:eastAsia="en-GB"/>
              </w:rPr>
              <w:t xml:space="preserve">To assess compliance, the Liversage Trust must complete an annual self-assessment, against the </w:t>
            </w:r>
            <w:r w:rsidRPr="00035058">
              <w:rPr>
                <w:rFonts w:cs="Arial"/>
                <w:szCs w:val="24"/>
                <w:lang w:eastAsia="en-GB"/>
              </w:rPr>
              <w:t>Compl</w:t>
            </w:r>
            <w:r>
              <w:rPr>
                <w:rFonts w:cs="Arial"/>
                <w:szCs w:val="24"/>
                <w:lang w:eastAsia="en-GB"/>
              </w:rPr>
              <w:t xml:space="preserve">aint </w:t>
            </w:r>
            <w:r w:rsidRPr="00035058">
              <w:rPr>
                <w:rFonts w:cs="Arial"/>
                <w:szCs w:val="24"/>
                <w:lang w:eastAsia="en-GB"/>
              </w:rPr>
              <w:t xml:space="preserve">Handling Code to ensure </w:t>
            </w:r>
            <w:r>
              <w:rPr>
                <w:rFonts w:cs="Arial"/>
                <w:szCs w:val="24"/>
                <w:lang w:eastAsia="en-GB"/>
              </w:rPr>
              <w:t xml:space="preserve">our </w:t>
            </w:r>
            <w:r w:rsidRPr="00035058">
              <w:rPr>
                <w:rFonts w:cs="Arial"/>
                <w:szCs w:val="24"/>
                <w:lang w:eastAsia="en-GB"/>
              </w:rPr>
              <w:t>complaint handling remains in</w:t>
            </w:r>
            <w:r>
              <w:rPr>
                <w:rFonts w:cs="Arial"/>
                <w:szCs w:val="24"/>
                <w:lang w:eastAsia="en-GB"/>
              </w:rPr>
              <w:t>-</w:t>
            </w:r>
            <w:r w:rsidRPr="00035058">
              <w:rPr>
                <w:rFonts w:cs="Arial"/>
                <w:szCs w:val="24"/>
                <w:lang w:eastAsia="en-GB"/>
              </w:rPr>
              <w:t xml:space="preserve">line with </w:t>
            </w:r>
            <w:r w:rsidR="007F11E6">
              <w:rPr>
                <w:rFonts w:cs="Arial"/>
                <w:szCs w:val="24"/>
                <w:lang w:eastAsia="en-GB"/>
              </w:rPr>
              <w:t xml:space="preserve">code </w:t>
            </w:r>
            <w:r w:rsidRPr="00035058">
              <w:rPr>
                <w:rFonts w:cs="Arial"/>
                <w:szCs w:val="24"/>
                <w:lang w:eastAsia="en-GB"/>
              </w:rPr>
              <w:t>requirements.  Landlords must also carry out a self-asse</w:t>
            </w:r>
            <w:r>
              <w:rPr>
                <w:rFonts w:cs="Arial"/>
                <w:szCs w:val="24"/>
                <w:lang w:eastAsia="en-GB"/>
              </w:rPr>
              <w:t>ss</w:t>
            </w:r>
            <w:r w:rsidRPr="00035058">
              <w:rPr>
                <w:rFonts w:cs="Arial"/>
                <w:szCs w:val="24"/>
                <w:lang w:eastAsia="en-GB"/>
              </w:rPr>
              <w:t>m</w:t>
            </w:r>
            <w:r>
              <w:rPr>
                <w:rFonts w:cs="Arial"/>
                <w:szCs w:val="24"/>
                <w:lang w:eastAsia="en-GB"/>
              </w:rPr>
              <w:t xml:space="preserve">ent </w:t>
            </w:r>
            <w:r w:rsidRPr="00035058">
              <w:rPr>
                <w:rFonts w:cs="Arial"/>
                <w:szCs w:val="24"/>
                <w:lang w:eastAsia="en-GB"/>
              </w:rPr>
              <w:t>following a significant restructure and/or change in pr</w:t>
            </w:r>
            <w:r>
              <w:rPr>
                <w:rFonts w:cs="Arial"/>
                <w:szCs w:val="24"/>
                <w:lang w:eastAsia="en-GB"/>
              </w:rPr>
              <w:t>o</w:t>
            </w:r>
            <w:r w:rsidRPr="00035058">
              <w:rPr>
                <w:rFonts w:cs="Arial"/>
                <w:szCs w:val="24"/>
                <w:lang w:eastAsia="en-GB"/>
              </w:rPr>
              <w:t>cedures</w:t>
            </w:r>
            <w:r w:rsidR="00BA4F5F">
              <w:rPr>
                <w:rFonts w:cs="Arial"/>
                <w:szCs w:val="24"/>
                <w:lang w:eastAsia="en-GB"/>
              </w:rPr>
              <w:t>.</w:t>
            </w:r>
          </w:p>
        </w:tc>
      </w:tr>
      <w:tr w:rsidR="001177AC" w:rsidRPr="00035058" w14:paraId="7CA6CE46" w14:textId="77777777" w:rsidTr="00523F25">
        <w:tc>
          <w:tcPr>
            <w:tcW w:w="568" w:type="dxa"/>
          </w:tcPr>
          <w:p w14:paraId="5121C24F" w14:textId="77777777" w:rsidR="001177AC" w:rsidRPr="00035058" w:rsidRDefault="001177AC" w:rsidP="00035058">
            <w:pPr>
              <w:pStyle w:val="NoSpacing"/>
              <w:rPr>
                <w:rFonts w:cs="Arial"/>
                <w:szCs w:val="24"/>
                <w:lang w:eastAsia="en-GB"/>
              </w:rPr>
            </w:pPr>
          </w:p>
        </w:tc>
        <w:tc>
          <w:tcPr>
            <w:tcW w:w="9497" w:type="dxa"/>
          </w:tcPr>
          <w:p w14:paraId="172835DB" w14:textId="77777777" w:rsidR="001177AC" w:rsidRPr="00035058" w:rsidRDefault="001177AC" w:rsidP="00035058">
            <w:pPr>
              <w:pStyle w:val="NoSpacing"/>
              <w:rPr>
                <w:rFonts w:cs="Arial"/>
                <w:szCs w:val="24"/>
                <w:lang w:eastAsia="en-GB"/>
              </w:rPr>
            </w:pPr>
          </w:p>
        </w:tc>
      </w:tr>
      <w:tr w:rsidR="00B02E7E" w:rsidRPr="00035058" w14:paraId="3BE1EFEA" w14:textId="77777777" w:rsidTr="00523F25">
        <w:tc>
          <w:tcPr>
            <w:tcW w:w="568" w:type="dxa"/>
          </w:tcPr>
          <w:p w14:paraId="69F9DD51" w14:textId="61199A7B" w:rsidR="00B02E7E" w:rsidRPr="00035058" w:rsidRDefault="00401174" w:rsidP="00035058">
            <w:pPr>
              <w:pStyle w:val="NoSpacing"/>
              <w:rPr>
                <w:rFonts w:cs="Arial"/>
                <w:szCs w:val="24"/>
                <w:lang w:eastAsia="en-GB"/>
              </w:rPr>
            </w:pPr>
            <w:r>
              <w:rPr>
                <w:rFonts w:cs="Arial"/>
                <w:szCs w:val="24"/>
                <w:lang w:eastAsia="en-GB"/>
              </w:rPr>
              <w:t>1.4</w:t>
            </w:r>
          </w:p>
        </w:tc>
        <w:tc>
          <w:tcPr>
            <w:tcW w:w="9497" w:type="dxa"/>
          </w:tcPr>
          <w:p w14:paraId="31AC5913" w14:textId="0A44BF2A" w:rsidR="00B02E7E" w:rsidRPr="00035058" w:rsidRDefault="005A6CBE" w:rsidP="00401174">
            <w:pPr>
              <w:pStyle w:val="NoSpacing"/>
              <w:rPr>
                <w:rFonts w:cs="Arial"/>
                <w:szCs w:val="24"/>
                <w:lang w:eastAsia="en-GB"/>
              </w:rPr>
            </w:pPr>
            <w:r>
              <w:rPr>
                <w:rFonts w:cs="Arial"/>
                <w:szCs w:val="24"/>
              </w:rPr>
              <w:t xml:space="preserve">For the Liversage </w:t>
            </w:r>
            <w:r w:rsidR="007F11E6">
              <w:rPr>
                <w:rFonts w:cs="Arial"/>
                <w:szCs w:val="24"/>
              </w:rPr>
              <w:t xml:space="preserve">Trust, the </w:t>
            </w:r>
            <w:r>
              <w:rPr>
                <w:rFonts w:cs="Arial"/>
                <w:szCs w:val="24"/>
              </w:rPr>
              <w:t>self-assessment must be completed</w:t>
            </w:r>
            <w:r w:rsidR="007F11E6">
              <w:rPr>
                <w:rFonts w:cs="Arial"/>
                <w:szCs w:val="24"/>
              </w:rPr>
              <w:t xml:space="preserve"> and submitted within 12 weeks of our year end.  As our year end is the </w:t>
            </w:r>
            <w:r w:rsidR="007F11E6" w:rsidRPr="00035058">
              <w:rPr>
                <w:rFonts w:cs="Arial"/>
                <w:szCs w:val="24"/>
              </w:rPr>
              <w:t>31 March</w:t>
            </w:r>
            <w:r w:rsidR="007F11E6">
              <w:rPr>
                <w:rFonts w:cs="Arial"/>
                <w:szCs w:val="24"/>
              </w:rPr>
              <w:t xml:space="preserve"> each year, we must complete our submission </w:t>
            </w:r>
            <w:r w:rsidR="007F11E6" w:rsidRPr="00035058">
              <w:rPr>
                <w:rFonts w:cs="Arial"/>
                <w:szCs w:val="24"/>
              </w:rPr>
              <w:t>by 30 June 2024</w:t>
            </w:r>
            <w:r w:rsidR="00401174">
              <w:rPr>
                <w:rFonts w:cs="Arial"/>
                <w:szCs w:val="24"/>
              </w:rPr>
              <w:t xml:space="preserve">. In addition, we must report annually our performance on complaint handling and publish relevant information on our webpage. </w:t>
            </w:r>
          </w:p>
        </w:tc>
      </w:tr>
      <w:tr w:rsidR="00B02E7E" w:rsidRPr="00035058" w14:paraId="5D698BA7" w14:textId="77777777" w:rsidTr="00523F25">
        <w:tc>
          <w:tcPr>
            <w:tcW w:w="568" w:type="dxa"/>
          </w:tcPr>
          <w:p w14:paraId="487231D5" w14:textId="77777777" w:rsidR="00B02E7E" w:rsidRPr="00035058" w:rsidRDefault="00B02E7E" w:rsidP="00035058">
            <w:pPr>
              <w:pStyle w:val="NoSpacing"/>
              <w:rPr>
                <w:rFonts w:cs="Arial"/>
                <w:szCs w:val="24"/>
                <w:lang w:eastAsia="en-GB"/>
              </w:rPr>
            </w:pPr>
          </w:p>
        </w:tc>
        <w:tc>
          <w:tcPr>
            <w:tcW w:w="9497" w:type="dxa"/>
          </w:tcPr>
          <w:p w14:paraId="5FEE8B79" w14:textId="77777777" w:rsidR="00B02E7E" w:rsidRPr="00035058" w:rsidRDefault="00B02E7E" w:rsidP="00035058">
            <w:pPr>
              <w:pStyle w:val="NoSpacing"/>
              <w:rPr>
                <w:rFonts w:cs="Arial"/>
                <w:szCs w:val="24"/>
                <w:lang w:eastAsia="en-GB"/>
              </w:rPr>
            </w:pPr>
          </w:p>
        </w:tc>
      </w:tr>
      <w:tr w:rsidR="008106EA" w:rsidRPr="00035058" w14:paraId="686D6546" w14:textId="77777777" w:rsidTr="00523F25">
        <w:trPr>
          <w:trHeight w:val="251"/>
        </w:trPr>
        <w:tc>
          <w:tcPr>
            <w:tcW w:w="568" w:type="dxa"/>
          </w:tcPr>
          <w:p w14:paraId="3D5DD762" w14:textId="49A05226" w:rsidR="008106EA" w:rsidRPr="00035058" w:rsidRDefault="00401174" w:rsidP="00035058">
            <w:pPr>
              <w:pStyle w:val="NoSpacing"/>
              <w:rPr>
                <w:rFonts w:cs="Arial"/>
                <w:szCs w:val="24"/>
                <w:lang w:eastAsia="en-GB"/>
              </w:rPr>
            </w:pPr>
            <w:r>
              <w:rPr>
                <w:rFonts w:cs="Arial"/>
                <w:szCs w:val="24"/>
                <w:lang w:eastAsia="en-GB"/>
              </w:rPr>
              <w:t>1.5</w:t>
            </w:r>
          </w:p>
        </w:tc>
        <w:tc>
          <w:tcPr>
            <w:tcW w:w="9497" w:type="dxa"/>
          </w:tcPr>
          <w:p w14:paraId="541C9AD9" w14:textId="49D7C309" w:rsidR="00FA6482" w:rsidRPr="00035058" w:rsidRDefault="00401174" w:rsidP="00401174">
            <w:pPr>
              <w:pStyle w:val="NoSpacing"/>
              <w:rPr>
                <w:rFonts w:cs="Arial"/>
                <w:szCs w:val="24"/>
                <w:lang w:eastAsia="en-GB"/>
              </w:rPr>
            </w:pPr>
            <w:r>
              <w:rPr>
                <w:rFonts w:cs="Arial"/>
                <w:szCs w:val="24"/>
                <w:lang w:eastAsia="en-GB"/>
              </w:rPr>
              <w:t xml:space="preserve">Our self-assessment for 2023/24 was completed on 21 June 2024 and will be reported to the Liversage Trust Board of Management on 8 July 2024.  While our approach broadly matches new code requirements, it has identified a number of revisions that are required to our existing policy, which will be completed by </w:t>
            </w:r>
            <w:r w:rsidR="00FA6482" w:rsidRPr="00035058">
              <w:rPr>
                <w:rFonts w:cs="Arial"/>
                <w:szCs w:val="24"/>
                <w:lang w:eastAsia="en-GB"/>
              </w:rPr>
              <w:t>Oct</w:t>
            </w:r>
            <w:r>
              <w:rPr>
                <w:rFonts w:cs="Arial"/>
                <w:szCs w:val="24"/>
                <w:lang w:eastAsia="en-GB"/>
              </w:rPr>
              <w:t>ober 2</w:t>
            </w:r>
            <w:r w:rsidR="00FA6482" w:rsidRPr="00035058">
              <w:rPr>
                <w:rFonts w:cs="Arial"/>
                <w:szCs w:val="24"/>
                <w:lang w:eastAsia="en-GB"/>
              </w:rPr>
              <w:t>024</w:t>
            </w:r>
            <w:r>
              <w:rPr>
                <w:rFonts w:cs="Arial"/>
                <w:szCs w:val="24"/>
                <w:lang w:eastAsia="en-GB"/>
              </w:rPr>
              <w:t xml:space="preserve">, at which point a new self-assessment will be completed. </w:t>
            </w:r>
          </w:p>
        </w:tc>
      </w:tr>
      <w:tr w:rsidR="00584663" w:rsidRPr="00035058" w14:paraId="3778B4FD" w14:textId="77777777" w:rsidTr="00523F25">
        <w:trPr>
          <w:trHeight w:val="251"/>
        </w:trPr>
        <w:tc>
          <w:tcPr>
            <w:tcW w:w="568" w:type="dxa"/>
          </w:tcPr>
          <w:p w14:paraId="18AEAC37" w14:textId="77777777" w:rsidR="00584663" w:rsidRPr="00035058" w:rsidRDefault="00584663" w:rsidP="00035058">
            <w:pPr>
              <w:pStyle w:val="NoSpacing"/>
              <w:rPr>
                <w:rFonts w:cs="Arial"/>
                <w:szCs w:val="24"/>
                <w:lang w:eastAsia="en-GB"/>
              </w:rPr>
            </w:pPr>
          </w:p>
        </w:tc>
        <w:tc>
          <w:tcPr>
            <w:tcW w:w="9497" w:type="dxa"/>
          </w:tcPr>
          <w:p w14:paraId="00116C69" w14:textId="77777777" w:rsidR="00584663" w:rsidRPr="00035058" w:rsidRDefault="00584663" w:rsidP="00035058">
            <w:pPr>
              <w:pStyle w:val="NoSpacing"/>
              <w:rPr>
                <w:rFonts w:cs="Arial"/>
                <w:szCs w:val="24"/>
                <w:lang w:eastAsia="en-GB"/>
              </w:rPr>
            </w:pPr>
          </w:p>
        </w:tc>
      </w:tr>
      <w:tr w:rsidR="00DD6A8C" w:rsidRPr="00035058" w14:paraId="739E6A3D" w14:textId="77777777" w:rsidTr="00523F25">
        <w:trPr>
          <w:trHeight w:val="232"/>
        </w:trPr>
        <w:tc>
          <w:tcPr>
            <w:tcW w:w="568" w:type="dxa"/>
          </w:tcPr>
          <w:p w14:paraId="5E885045" w14:textId="7C3D38FB" w:rsidR="00DD6A8C" w:rsidRPr="00401174" w:rsidRDefault="00DD6A8C" w:rsidP="00035058">
            <w:pPr>
              <w:pStyle w:val="NoSpacing"/>
              <w:rPr>
                <w:rFonts w:cs="Arial"/>
                <w:b/>
                <w:bCs/>
                <w:szCs w:val="24"/>
                <w:lang w:eastAsia="en-GB"/>
              </w:rPr>
            </w:pPr>
            <w:r w:rsidRPr="00401174">
              <w:rPr>
                <w:rFonts w:cs="Arial"/>
                <w:b/>
                <w:bCs/>
                <w:szCs w:val="24"/>
                <w:lang w:eastAsia="en-GB"/>
              </w:rPr>
              <w:t>2</w:t>
            </w:r>
          </w:p>
        </w:tc>
        <w:tc>
          <w:tcPr>
            <w:tcW w:w="9497" w:type="dxa"/>
          </w:tcPr>
          <w:p w14:paraId="2E7C5A3C" w14:textId="5D7B330F" w:rsidR="00DD6A8C" w:rsidRPr="00401174" w:rsidRDefault="00FA6482" w:rsidP="00035058">
            <w:pPr>
              <w:pStyle w:val="NoSpacing"/>
              <w:rPr>
                <w:rFonts w:cs="Arial"/>
                <w:b/>
                <w:bCs/>
                <w:color w:val="000000"/>
                <w:szCs w:val="24"/>
                <w:lang w:eastAsia="en-GB"/>
              </w:rPr>
            </w:pPr>
            <w:r w:rsidRPr="00401174">
              <w:rPr>
                <w:rFonts w:cs="Arial"/>
                <w:b/>
                <w:bCs/>
                <w:color w:val="000000"/>
                <w:szCs w:val="24"/>
                <w:lang w:eastAsia="en-GB"/>
              </w:rPr>
              <w:t>Over-view of c</w:t>
            </w:r>
            <w:r w:rsidR="00F60460" w:rsidRPr="00401174">
              <w:rPr>
                <w:rFonts w:cs="Arial"/>
                <w:b/>
                <w:bCs/>
                <w:color w:val="000000"/>
                <w:szCs w:val="24"/>
                <w:lang w:eastAsia="en-GB"/>
              </w:rPr>
              <w:t xml:space="preserve">omplaint handling performance </w:t>
            </w:r>
          </w:p>
        </w:tc>
      </w:tr>
      <w:tr w:rsidR="004E4347" w:rsidRPr="00035058" w14:paraId="3DD4441E" w14:textId="77777777" w:rsidTr="00523F25">
        <w:trPr>
          <w:trHeight w:val="232"/>
        </w:trPr>
        <w:tc>
          <w:tcPr>
            <w:tcW w:w="568" w:type="dxa"/>
          </w:tcPr>
          <w:p w14:paraId="7ADE9C34" w14:textId="77777777" w:rsidR="004E4347" w:rsidRPr="00035058" w:rsidRDefault="004E4347" w:rsidP="00035058">
            <w:pPr>
              <w:pStyle w:val="NoSpacing"/>
              <w:rPr>
                <w:rFonts w:cs="Arial"/>
                <w:szCs w:val="24"/>
                <w:lang w:eastAsia="en-GB"/>
              </w:rPr>
            </w:pPr>
          </w:p>
        </w:tc>
        <w:tc>
          <w:tcPr>
            <w:tcW w:w="9497" w:type="dxa"/>
          </w:tcPr>
          <w:p w14:paraId="491B77EB" w14:textId="77777777" w:rsidR="004E4347" w:rsidRDefault="004E4347" w:rsidP="00035058">
            <w:pPr>
              <w:pStyle w:val="NoSpacing"/>
              <w:rPr>
                <w:rFonts w:cs="Arial"/>
                <w:color w:val="000000"/>
                <w:szCs w:val="24"/>
                <w:lang w:eastAsia="en-GB"/>
              </w:rPr>
            </w:pPr>
          </w:p>
        </w:tc>
      </w:tr>
      <w:tr w:rsidR="00DD6A8C" w:rsidRPr="00035058" w14:paraId="0FD1BC61" w14:textId="77777777" w:rsidTr="00523F25">
        <w:trPr>
          <w:trHeight w:val="232"/>
        </w:trPr>
        <w:tc>
          <w:tcPr>
            <w:tcW w:w="568" w:type="dxa"/>
          </w:tcPr>
          <w:p w14:paraId="6EF5D1FD" w14:textId="1610F434" w:rsidR="00DD6A8C" w:rsidRPr="00035058" w:rsidRDefault="004E4347" w:rsidP="00035058">
            <w:pPr>
              <w:pStyle w:val="NoSpacing"/>
              <w:rPr>
                <w:rFonts w:cs="Arial"/>
                <w:szCs w:val="24"/>
                <w:lang w:eastAsia="en-GB"/>
              </w:rPr>
            </w:pPr>
            <w:r>
              <w:rPr>
                <w:rFonts w:cs="Arial"/>
                <w:szCs w:val="24"/>
                <w:lang w:eastAsia="en-GB"/>
              </w:rPr>
              <w:t>2.1</w:t>
            </w:r>
          </w:p>
        </w:tc>
        <w:tc>
          <w:tcPr>
            <w:tcW w:w="9497" w:type="dxa"/>
          </w:tcPr>
          <w:tbl>
            <w:tblPr>
              <w:tblStyle w:val="TableGrid"/>
              <w:tblW w:w="0" w:type="auto"/>
              <w:tblLook w:val="04A0" w:firstRow="1" w:lastRow="0" w:firstColumn="1" w:lastColumn="0" w:noHBand="0" w:noVBand="1"/>
            </w:tblPr>
            <w:tblGrid>
              <w:gridCol w:w="7547"/>
              <w:gridCol w:w="1408"/>
            </w:tblGrid>
            <w:tr w:rsidR="004E4347" w14:paraId="004F8369" w14:textId="77777777" w:rsidTr="000E1C10">
              <w:tc>
                <w:tcPr>
                  <w:tcW w:w="7547" w:type="dxa"/>
                </w:tcPr>
                <w:p w14:paraId="76A4C7C2" w14:textId="55C0DB6E" w:rsidR="004E4347" w:rsidRDefault="004E4347" w:rsidP="00035058">
                  <w:pPr>
                    <w:pStyle w:val="NoSpacing"/>
                    <w:rPr>
                      <w:rFonts w:cs="Arial"/>
                      <w:color w:val="000000"/>
                      <w:szCs w:val="24"/>
                      <w:lang w:eastAsia="en-GB"/>
                    </w:rPr>
                  </w:pPr>
                  <w:r w:rsidRPr="00035058">
                    <w:rPr>
                      <w:rFonts w:cs="Arial"/>
                      <w:color w:val="000000"/>
                      <w:szCs w:val="24"/>
                      <w:lang w:eastAsia="en-GB"/>
                    </w:rPr>
                    <w:t>Total no of complaints received:</w:t>
                  </w:r>
                </w:p>
              </w:tc>
              <w:tc>
                <w:tcPr>
                  <w:tcW w:w="1408" w:type="dxa"/>
                </w:tcPr>
                <w:p w14:paraId="2A9063C0" w14:textId="0720D65B" w:rsidR="004E4347" w:rsidRDefault="006C3C11" w:rsidP="006C3C11">
                  <w:pPr>
                    <w:pStyle w:val="NoSpacing"/>
                    <w:jc w:val="center"/>
                    <w:rPr>
                      <w:rFonts w:cs="Arial"/>
                      <w:color w:val="000000"/>
                      <w:szCs w:val="24"/>
                      <w:lang w:eastAsia="en-GB"/>
                    </w:rPr>
                  </w:pPr>
                  <w:r>
                    <w:rPr>
                      <w:rFonts w:cs="Arial"/>
                      <w:color w:val="000000"/>
                      <w:szCs w:val="24"/>
                      <w:lang w:eastAsia="en-GB"/>
                    </w:rPr>
                    <w:t>3</w:t>
                  </w:r>
                </w:p>
              </w:tc>
            </w:tr>
            <w:tr w:rsidR="004E4347" w14:paraId="6B85FF03" w14:textId="77777777" w:rsidTr="000E1C10">
              <w:tc>
                <w:tcPr>
                  <w:tcW w:w="7547" w:type="dxa"/>
                </w:tcPr>
                <w:p w14:paraId="057111A3" w14:textId="2D49013D" w:rsidR="004E4347" w:rsidRDefault="004E4347" w:rsidP="004E4347">
                  <w:pPr>
                    <w:pStyle w:val="NoSpacing"/>
                    <w:rPr>
                      <w:rFonts w:cs="Arial"/>
                      <w:color w:val="000000"/>
                      <w:szCs w:val="24"/>
                      <w:lang w:eastAsia="en-GB"/>
                    </w:rPr>
                  </w:pPr>
                  <w:r w:rsidRPr="00035058">
                    <w:rPr>
                      <w:rFonts w:cs="Arial"/>
                      <w:color w:val="000000"/>
                      <w:szCs w:val="24"/>
                      <w:lang w:eastAsia="en-GB"/>
                    </w:rPr>
                    <w:t>Percentage of overall almshouse properties</w:t>
                  </w:r>
                </w:p>
              </w:tc>
              <w:tc>
                <w:tcPr>
                  <w:tcW w:w="1408" w:type="dxa"/>
                </w:tcPr>
                <w:p w14:paraId="5DBE606C" w14:textId="3C12E258" w:rsidR="004E4347" w:rsidRDefault="006C3C11" w:rsidP="006C3C11">
                  <w:pPr>
                    <w:pStyle w:val="NoSpacing"/>
                    <w:jc w:val="center"/>
                    <w:rPr>
                      <w:rFonts w:cs="Arial"/>
                      <w:color w:val="000000"/>
                      <w:szCs w:val="24"/>
                      <w:lang w:eastAsia="en-GB"/>
                    </w:rPr>
                  </w:pPr>
                  <w:r>
                    <w:rPr>
                      <w:rFonts w:cs="Arial"/>
                      <w:color w:val="000000"/>
                      <w:szCs w:val="24"/>
                      <w:lang w:eastAsia="en-GB"/>
                    </w:rPr>
                    <w:t>1.8%</w:t>
                  </w:r>
                </w:p>
              </w:tc>
            </w:tr>
            <w:tr w:rsidR="004E4347" w14:paraId="4A88AB69" w14:textId="77777777" w:rsidTr="000E1C10">
              <w:tc>
                <w:tcPr>
                  <w:tcW w:w="7547" w:type="dxa"/>
                </w:tcPr>
                <w:p w14:paraId="0E94FFBE" w14:textId="3D96C6C1" w:rsidR="004E4347" w:rsidRDefault="004E4347" w:rsidP="004E4347">
                  <w:pPr>
                    <w:pStyle w:val="NoSpacing"/>
                    <w:rPr>
                      <w:rFonts w:cs="Arial"/>
                      <w:color w:val="000000"/>
                      <w:szCs w:val="24"/>
                      <w:lang w:eastAsia="en-GB"/>
                    </w:rPr>
                  </w:pPr>
                  <w:r w:rsidRPr="00035058">
                    <w:rPr>
                      <w:rFonts w:cs="Arial"/>
                      <w:color w:val="000000"/>
                      <w:szCs w:val="24"/>
                      <w:lang w:eastAsia="en-GB"/>
                    </w:rPr>
                    <w:t xml:space="preserve">Number of Stage </w:t>
                  </w:r>
                  <w:r>
                    <w:rPr>
                      <w:rFonts w:cs="Arial"/>
                      <w:color w:val="000000"/>
                      <w:szCs w:val="24"/>
                      <w:lang w:eastAsia="en-GB"/>
                    </w:rPr>
                    <w:t>O</w:t>
                  </w:r>
                  <w:r w:rsidRPr="00035058">
                    <w:rPr>
                      <w:rFonts w:cs="Arial"/>
                      <w:color w:val="000000"/>
                      <w:szCs w:val="24"/>
                      <w:lang w:eastAsia="en-GB"/>
                    </w:rPr>
                    <w:t>ne complaints</w:t>
                  </w:r>
                </w:p>
              </w:tc>
              <w:tc>
                <w:tcPr>
                  <w:tcW w:w="1408" w:type="dxa"/>
                </w:tcPr>
                <w:p w14:paraId="0523D400" w14:textId="5B00972D" w:rsidR="004E4347" w:rsidRDefault="006C3C11" w:rsidP="006C3C11">
                  <w:pPr>
                    <w:pStyle w:val="NoSpacing"/>
                    <w:jc w:val="center"/>
                    <w:rPr>
                      <w:rFonts w:cs="Arial"/>
                      <w:color w:val="000000"/>
                      <w:szCs w:val="24"/>
                      <w:lang w:eastAsia="en-GB"/>
                    </w:rPr>
                  </w:pPr>
                  <w:r>
                    <w:rPr>
                      <w:rFonts w:cs="Arial"/>
                      <w:color w:val="000000"/>
                      <w:szCs w:val="24"/>
                      <w:lang w:eastAsia="en-GB"/>
                    </w:rPr>
                    <w:t>3</w:t>
                  </w:r>
                </w:p>
              </w:tc>
            </w:tr>
            <w:tr w:rsidR="004E4347" w14:paraId="78BFB056" w14:textId="77777777" w:rsidTr="000E1C10">
              <w:tc>
                <w:tcPr>
                  <w:tcW w:w="7547" w:type="dxa"/>
                </w:tcPr>
                <w:p w14:paraId="7824C9CF" w14:textId="4A0D601F" w:rsidR="004E4347" w:rsidRDefault="004E4347" w:rsidP="004E4347">
                  <w:pPr>
                    <w:pStyle w:val="NoSpacing"/>
                    <w:rPr>
                      <w:rFonts w:cs="Arial"/>
                      <w:color w:val="000000"/>
                      <w:szCs w:val="24"/>
                      <w:lang w:eastAsia="en-GB"/>
                    </w:rPr>
                  </w:pPr>
                  <w:r w:rsidRPr="00035058">
                    <w:rPr>
                      <w:rFonts w:cs="Arial"/>
                      <w:color w:val="000000"/>
                      <w:szCs w:val="24"/>
                      <w:lang w:eastAsia="en-GB"/>
                    </w:rPr>
                    <w:t xml:space="preserve">Percentage of </w:t>
                  </w:r>
                  <w:r>
                    <w:rPr>
                      <w:rFonts w:cs="Arial"/>
                      <w:color w:val="000000"/>
                      <w:szCs w:val="24"/>
                      <w:lang w:eastAsia="en-GB"/>
                    </w:rPr>
                    <w:t>S</w:t>
                  </w:r>
                  <w:r w:rsidRPr="00035058">
                    <w:rPr>
                      <w:rFonts w:cs="Arial"/>
                      <w:color w:val="000000"/>
                      <w:szCs w:val="24"/>
                      <w:lang w:eastAsia="en-GB"/>
                    </w:rPr>
                    <w:t xml:space="preserve">tage </w:t>
                  </w:r>
                  <w:r>
                    <w:rPr>
                      <w:rFonts w:cs="Arial"/>
                      <w:color w:val="000000"/>
                      <w:szCs w:val="24"/>
                      <w:lang w:eastAsia="en-GB"/>
                    </w:rPr>
                    <w:t>O</w:t>
                  </w:r>
                  <w:r w:rsidRPr="00035058">
                    <w:rPr>
                      <w:rFonts w:cs="Arial"/>
                      <w:color w:val="000000"/>
                      <w:szCs w:val="24"/>
                      <w:lang w:eastAsia="en-GB"/>
                    </w:rPr>
                    <w:t>ne complaints responded to within timescales</w:t>
                  </w:r>
                </w:p>
              </w:tc>
              <w:tc>
                <w:tcPr>
                  <w:tcW w:w="1408" w:type="dxa"/>
                </w:tcPr>
                <w:p w14:paraId="365F1544" w14:textId="30CC1AB9" w:rsidR="004E4347" w:rsidRDefault="006C3C11" w:rsidP="006C3C11">
                  <w:pPr>
                    <w:pStyle w:val="NoSpacing"/>
                    <w:jc w:val="center"/>
                    <w:rPr>
                      <w:rFonts w:cs="Arial"/>
                      <w:color w:val="000000"/>
                      <w:szCs w:val="24"/>
                      <w:lang w:eastAsia="en-GB"/>
                    </w:rPr>
                  </w:pPr>
                  <w:r>
                    <w:rPr>
                      <w:rFonts w:cs="Arial"/>
                      <w:color w:val="000000"/>
                      <w:szCs w:val="24"/>
                      <w:lang w:eastAsia="en-GB"/>
                    </w:rPr>
                    <w:t>100%</w:t>
                  </w:r>
                </w:p>
              </w:tc>
            </w:tr>
            <w:tr w:rsidR="004E4347" w14:paraId="2A9AFA1C" w14:textId="77777777" w:rsidTr="000E1C10">
              <w:tc>
                <w:tcPr>
                  <w:tcW w:w="7547" w:type="dxa"/>
                </w:tcPr>
                <w:p w14:paraId="6CDCBCE4" w14:textId="4B2C25AD" w:rsidR="004E4347" w:rsidRDefault="004E4347" w:rsidP="004E4347">
                  <w:pPr>
                    <w:pStyle w:val="NoSpacing"/>
                    <w:rPr>
                      <w:rFonts w:cs="Arial"/>
                      <w:color w:val="000000"/>
                      <w:szCs w:val="24"/>
                      <w:lang w:eastAsia="en-GB"/>
                    </w:rPr>
                  </w:pPr>
                  <w:r w:rsidRPr="00035058">
                    <w:rPr>
                      <w:rFonts w:cs="Arial"/>
                      <w:color w:val="000000"/>
                      <w:szCs w:val="24"/>
                      <w:lang w:eastAsia="en-GB"/>
                    </w:rPr>
                    <w:t>Number of stage two complaints</w:t>
                  </w:r>
                </w:p>
              </w:tc>
              <w:tc>
                <w:tcPr>
                  <w:tcW w:w="1408" w:type="dxa"/>
                </w:tcPr>
                <w:p w14:paraId="6B475529" w14:textId="67CD51EC" w:rsidR="004E4347" w:rsidRDefault="006C3C11" w:rsidP="006C3C11">
                  <w:pPr>
                    <w:pStyle w:val="NoSpacing"/>
                    <w:jc w:val="center"/>
                    <w:rPr>
                      <w:rFonts w:cs="Arial"/>
                      <w:color w:val="000000"/>
                      <w:szCs w:val="24"/>
                      <w:lang w:eastAsia="en-GB"/>
                    </w:rPr>
                  </w:pPr>
                  <w:r>
                    <w:rPr>
                      <w:rFonts w:cs="Arial"/>
                      <w:color w:val="000000"/>
                      <w:szCs w:val="24"/>
                      <w:lang w:eastAsia="en-GB"/>
                    </w:rPr>
                    <w:t>2</w:t>
                  </w:r>
                </w:p>
              </w:tc>
            </w:tr>
            <w:tr w:rsidR="004E4347" w14:paraId="59272B89" w14:textId="77777777" w:rsidTr="000E1C10">
              <w:tc>
                <w:tcPr>
                  <w:tcW w:w="7547" w:type="dxa"/>
                </w:tcPr>
                <w:p w14:paraId="1679D386" w14:textId="6EAA0917" w:rsidR="004E4347" w:rsidRDefault="004E4347" w:rsidP="004E4347">
                  <w:pPr>
                    <w:pStyle w:val="NoSpacing"/>
                    <w:rPr>
                      <w:rFonts w:cs="Arial"/>
                      <w:color w:val="000000"/>
                      <w:szCs w:val="24"/>
                      <w:lang w:eastAsia="en-GB"/>
                    </w:rPr>
                  </w:pPr>
                  <w:r w:rsidRPr="00035058">
                    <w:rPr>
                      <w:rFonts w:cs="Arial"/>
                      <w:color w:val="000000"/>
                      <w:szCs w:val="24"/>
                      <w:lang w:eastAsia="en-GB"/>
                    </w:rPr>
                    <w:t>Percentage of stage two complaints responded to within timescales</w:t>
                  </w:r>
                </w:p>
              </w:tc>
              <w:tc>
                <w:tcPr>
                  <w:tcW w:w="1408" w:type="dxa"/>
                </w:tcPr>
                <w:p w14:paraId="5AB47CDE" w14:textId="65165076" w:rsidR="004E4347" w:rsidRDefault="006C3C11" w:rsidP="006C3C11">
                  <w:pPr>
                    <w:pStyle w:val="NoSpacing"/>
                    <w:jc w:val="center"/>
                    <w:rPr>
                      <w:rFonts w:cs="Arial"/>
                      <w:color w:val="000000"/>
                      <w:szCs w:val="24"/>
                      <w:lang w:eastAsia="en-GB"/>
                    </w:rPr>
                  </w:pPr>
                  <w:r>
                    <w:rPr>
                      <w:rFonts w:cs="Arial"/>
                      <w:color w:val="000000"/>
                      <w:szCs w:val="24"/>
                      <w:lang w:eastAsia="en-GB"/>
                    </w:rPr>
                    <w:t>100%</w:t>
                  </w:r>
                </w:p>
              </w:tc>
            </w:tr>
            <w:tr w:rsidR="004E4347" w14:paraId="0A4FBCF7" w14:textId="77777777" w:rsidTr="000E1C10">
              <w:tc>
                <w:tcPr>
                  <w:tcW w:w="7547" w:type="dxa"/>
                </w:tcPr>
                <w:p w14:paraId="3C82D2F2" w14:textId="2419B7CE" w:rsidR="004E4347" w:rsidRPr="00035058" w:rsidRDefault="004E4347" w:rsidP="004E4347">
                  <w:pPr>
                    <w:pStyle w:val="NoSpacing"/>
                    <w:rPr>
                      <w:rFonts w:cs="Arial"/>
                      <w:color w:val="000000"/>
                      <w:szCs w:val="24"/>
                      <w:lang w:eastAsia="en-GB"/>
                    </w:rPr>
                  </w:pPr>
                  <w:r>
                    <w:rPr>
                      <w:rFonts w:cs="Arial"/>
                      <w:color w:val="000000"/>
                      <w:szCs w:val="24"/>
                      <w:lang w:eastAsia="en-GB"/>
                    </w:rPr>
                    <w:t>Number of Stage Three appeals</w:t>
                  </w:r>
                </w:p>
              </w:tc>
              <w:tc>
                <w:tcPr>
                  <w:tcW w:w="1408" w:type="dxa"/>
                </w:tcPr>
                <w:p w14:paraId="01E35C12" w14:textId="09AD13C2" w:rsidR="004E4347" w:rsidRDefault="006C3C11" w:rsidP="006C3C11">
                  <w:pPr>
                    <w:pStyle w:val="NoSpacing"/>
                    <w:jc w:val="center"/>
                    <w:rPr>
                      <w:rFonts w:cs="Arial"/>
                      <w:color w:val="000000"/>
                      <w:szCs w:val="24"/>
                      <w:lang w:eastAsia="en-GB"/>
                    </w:rPr>
                  </w:pPr>
                  <w:r>
                    <w:rPr>
                      <w:rFonts w:cs="Arial"/>
                      <w:color w:val="000000"/>
                      <w:szCs w:val="24"/>
                      <w:lang w:eastAsia="en-GB"/>
                    </w:rPr>
                    <w:t>1</w:t>
                  </w:r>
                </w:p>
              </w:tc>
            </w:tr>
            <w:tr w:rsidR="004E4347" w14:paraId="1F015577" w14:textId="77777777" w:rsidTr="000E1C10">
              <w:tc>
                <w:tcPr>
                  <w:tcW w:w="7547" w:type="dxa"/>
                </w:tcPr>
                <w:p w14:paraId="597B51CA" w14:textId="226C3585" w:rsidR="004E4347" w:rsidRDefault="004E4347" w:rsidP="004E4347">
                  <w:pPr>
                    <w:pStyle w:val="NoSpacing"/>
                    <w:rPr>
                      <w:rFonts w:cs="Arial"/>
                      <w:color w:val="000000"/>
                      <w:szCs w:val="24"/>
                      <w:lang w:eastAsia="en-GB"/>
                    </w:rPr>
                  </w:pPr>
                  <w:r w:rsidRPr="00035058">
                    <w:rPr>
                      <w:rFonts w:cs="Arial"/>
                      <w:color w:val="000000"/>
                      <w:szCs w:val="24"/>
                      <w:lang w:eastAsia="en-GB"/>
                    </w:rPr>
                    <w:t xml:space="preserve">Percentage of </w:t>
                  </w:r>
                  <w:r>
                    <w:rPr>
                      <w:rFonts w:cs="Arial"/>
                      <w:color w:val="000000"/>
                      <w:szCs w:val="24"/>
                      <w:lang w:eastAsia="en-GB"/>
                    </w:rPr>
                    <w:t>S</w:t>
                  </w:r>
                  <w:r w:rsidRPr="00035058">
                    <w:rPr>
                      <w:rFonts w:cs="Arial"/>
                      <w:color w:val="000000"/>
                      <w:szCs w:val="24"/>
                      <w:lang w:eastAsia="en-GB"/>
                    </w:rPr>
                    <w:t xml:space="preserve">tage </w:t>
                  </w:r>
                  <w:r>
                    <w:rPr>
                      <w:rFonts w:cs="Arial"/>
                      <w:color w:val="000000"/>
                      <w:szCs w:val="24"/>
                      <w:lang w:eastAsia="en-GB"/>
                    </w:rPr>
                    <w:t xml:space="preserve">Three appeals </w:t>
                  </w:r>
                  <w:r w:rsidRPr="00035058">
                    <w:rPr>
                      <w:rFonts w:cs="Arial"/>
                      <w:color w:val="000000"/>
                      <w:szCs w:val="24"/>
                      <w:lang w:eastAsia="en-GB"/>
                    </w:rPr>
                    <w:t>responded to within timescales</w:t>
                  </w:r>
                </w:p>
              </w:tc>
              <w:tc>
                <w:tcPr>
                  <w:tcW w:w="1408" w:type="dxa"/>
                </w:tcPr>
                <w:p w14:paraId="6AFDA073" w14:textId="32FFB6BF" w:rsidR="004E4347" w:rsidRDefault="006C3C11" w:rsidP="006C3C11">
                  <w:pPr>
                    <w:pStyle w:val="NoSpacing"/>
                    <w:jc w:val="center"/>
                    <w:rPr>
                      <w:rFonts w:cs="Arial"/>
                      <w:color w:val="000000"/>
                      <w:szCs w:val="24"/>
                      <w:lang w:eastAsia="en-GB"/>
                    </w:rPr>
                  </w:pPr>
                  <w:r>
                    <w:rPr>
                      <w:rFonts w:cs="Arial"/>
                      <w:color w:val="000000"/>
                      <w:szCs w:val="24"/>
                      <w:lang w:eastAsia="en-GB"/>
                    </w:rPr>
                    <w:t>100%</w:t>
                  </w:r>
                </w:p>
              </w:tc>
            </w:tr>
          </w:tbl>
          <w:p w14:paraId="6785B731" w14:textId="77777777" w:rsidR="00401174" w:rsidRPr="00035058" w:rsidRDefault="00401174" w:rsidP="00035058">
            <w:pPr>
              <w:pStyle w:val="NoSpacing"/>
              <w:rPr>
                <w:rFonts w:cs="Arial"/>
                <w:color w:val="000000"/>
                <w:szCs w:val="24"/>
                <w:lang w:eastAsia="en-GB"/>
              </w:rPr>
            </w:pPr>
          </w:p>
        </w:tc>
      </w:tr>
      <w:tr w:rsidR="00F6031B" w:rsidRPr="00035058" w14:paraId="11198600" w14:textId="77777777" w:rsidTr="00523F25">
        <w:trPr>
          <w:trHeight w:val="232"/>
        </w:trPr>
        <w:tc>
          <w:tcPr>
            <w:tcW w:w="568" w:type="dxa"/>
          </w:tcPr>
          <w:p w14:paraId="7B056244" w14:textId="37F81F84" w:rsidR="00F6031B" w:rsidRPr="00035058" w:rsidRDefault="00F6031B" w:rsidP="00035058">
            <w:pPr>
              <w:pStyle w:val="NoSpacing"/>
              <w:rPr>
                <w:rFonts w:cs="Arial"/>
                <w:szCs w:val="24"/>
                <w:lang w:eastAsia="en-GB"/>
              </w:rPr>
            </w:pPr>
          </w:p>
        </w:tc>
        <w:tc>
          <w:tcPr>
            <w:tcW w:w="9497" w:type="dxa"/>
          </w:tcPr>
          <w:p w14:paraId="1897C2D1" w14:textId="46088008" w:rsidR="00F60460" w:rsidRPr="00035058" w:rsidRDefault="00F60460" w:rsidP="00035058">
            <w:pPr>
              <w:pStyle w:val="NoSpacing"/>
              <w:rPr>
                <w:rFonts w:cs="Arial"/>
                <w:color w:val="000000"/>
                <w:szCs w:val="24"/>
                <w:lang w:eastAsia="en-GB"/>
              </w:rPr>
            </w:pPr>
          </w:p>
        </w:tc>
      </w:tr>
      <w:tr w:rsidR="004E4347" w:rsidRPr="00035058" w14:paraId="5E76FE23" w14:textId="77777777" w:rsidTr="00523F25">
        <w:trPr>
          <w:trHeight w:val="232"/>
        </w:trPr>
        <w:tc>
          <w:tcPr>
            <w:tcW w:w="568" w:type="dxa"/>
          </w:tcPr>
          <w:p w14:paraId="4D628802" w14:textId="117B3CA3" w:rsidR="004E4347" w:rsidRPr="00035058" w:rsidRDefault="004E4347" w:rsidP="004E4347">
            <w:pPr>
              <w:pStyle w:val="NoSpacing"/>
              <w:rPr>
                <w:rFonts w:cs="Arial"/>
                <w:szCs w:val="24"/>
                <w:lang w:eastAsia="en-GB"/>
              </w:rPr>
            </w:pPr>
            <w:r>
              <w:rPr>
                <w:rFonts w:cs="Arial"/>
                <w:szCs w:val="24"/>
                <w:lang w:eastAsia="en-GB"/>
              </w:rPr>
              <w:lastRenderedPageBreak/>
              <w:t>2.2</w:t>
            </w:r>
          </w:p>
        </w:tc>
        <w:tc>
          <w:tcPr>
            <w:tcW w:w="9497" w:type="dxa"/>
          </w:tcPr>
          <w:p w14:paraId="5808A38B" w14:textId="5B18032F" w:rsidR="004E4347" w:rsidRPr="00035058" w:rsidRDefault="004E4347" w:rsidP="004E4347">
            <w:pPr>
              <w:pStyle w:val="NoSpacing"/>
              <w:rPr>
                <w:rFonts w:cs="Arial"/>
                <w:color w:val="000000"/>
                <w:szCs w:val="24"/>
                <w:lang w:eastAsia="en-GB"/>
              </w:rPr>
            </w:pPr>
            <w:r w:rsidRPr="00035058">
              <w:rPr>
                <w:rFonts w:cs="Arial"/>
                <w:color w:val="000000"/>
                <w:szCs w:val="24"/>
                <w:lang w:eastAsia="en-GB"/>
              </w:rPr>
              <w:t>As this is the first year of reporting information in an annual report, and generally</w:t>
            </w:r>
            <w:r w:rsidR="006C3C11">
              <w:rPr>
                <w:rFonts w:cs="Arial"/>
                <w:color w:val="000000"/>
                <w:szCs w:val="24"/>
                <w:lang w:eastAsia="en-GB"/>
              </w:rPr>
              <w:t xml:space="preserve"> there are few complaints made to the Liversage Trust, there are no </w:t>
            </w:r>
            <w:r w:rsidRPr="00035058">
              <w:rPr>
                <w:rFonts w:cs="Arial"/>
                <w:color w:val="000000"/>
                <w:szCs w:val="24"/>
                <w:lang w:eastAsia="en-GB"/>
              </w:rPr>
              <w:t xml:space="preserve">previous reports with which to compare performance.    </w:t>
            </w:r>
          </w:p>
        </w:tc>
      </w:tr>
      <w:tr w:rsidR="004E4347" w:rsidRPr="00035058" w14:paraId="5F280616" w14:textId="77777777" w:rsidTr="00523F25">
        <w:trPr>
          <w:trHeight w:val="232"/>
        </w:trPr>
        <w:tc>
          <w:tcPr>
            <w:tcW w:w="568" w:type="dxa"/>
          </w:tcPr>
          <w:p w14:paraId="221EE652" w14:textId="77777777" w:rsidR="004E4347" w:rsidRPr="00035058" w:rsidRDefault="004E4347" w:rsidP="004E4347">
            <w:pPr>
              <w:pStyle w:val="NoSpacing"/>
              <w:rPr>
                <w:rFonts w:cs="Arial"/>
                <w:szCs w:val="24"/>
                <w:lang w:eastAsia="en-GB"/>
              </w:rPr>
            </w:pPr>
          </w:p>
        </w:tc>
        <w:tc>
          <w:tcPr>
            <w:tcW w:w="9497" w:type="dxa"/>
          </w:tcPr>
          <w:p w14:paraId="16769B14" w14:textId="1586827C" w:rsidR="004E4347" w:rsidRPr="00035058" w:rsidRDefault="004E4347" w:rsidP="004E4347">
            <w:pPr>
              <w:pStyle w:val="NoSpacing"/>
              <w:rPr>
                <w:rFonts w:cs="Arial"/>
                <w:color w:val="000000"/>
                <w:szCs w:val="24"/>
                <w:lang w:eastAsia="en-GB"/>
              </w:rPr>
            </w:pPr>
          </w:p>
        </w:tc>
      </w:tr>
      <w:tr w:rsidR="004E4347" w:rsidRPr="00035058" w14:paraId="346CA4CB" w14:textId="77777777" w:rsidTr="00523F25">
        <w:trPr>
          <w:trHeight w:val="232"/>
        </w:trPr>
        <w:tc>
          <w:tcPr>
            <w:tcW w:w="568" w:type="dxa"/>
          </w:tcPr>
          <w:p w14:paraId="3F77EF61" w14:textId="66B57990" w:rsidR="004E4347" w:rsidRPr="00035058" w:rsidRDefault="004E4347" w:rsidP="004E4347">
            <w:pPr>
              <w:pStyle w:val="NoSpacing"/>
              <w:rPr>
                <w:rFonts w:cs="Arial"/>
                <w:szCs w:val="24"/>
                <w:lang w:eastAsia="en-GB"/>
              </w:rPr>
            </w:pPr>
            <w:r>
              <w:rPr>
                <w:rFonts w:cs="Arial"/>
                <w:szCs w:val="24"/>
                <w:lang w:eastAsia="en-GB"/>
              </w:rPr>
              <w:t>2.3</w:t>
            </w:r>
          </w:p>
        </w:tc>
        <w:tc>
          <w:tcPr>
            <w:tcW w:w="9497" w:type="dxa"/>
          </w:tcPr>
          <w:p w14:paraId="77272969" w14:textId="4F77981C" w:rsidR="004E4347" w:rsidRPr="00035058" w:rsidRDefault="004E4347" w:rsidP="004E4347">
            <w:pPr>
              <w:pStyle w:val="NoSpacing"/>
              <w:rPr>
                <w:rFonts w:cs="Arial"/>
                <w:color w:val="000000"/>
                <w:szCs w:val="24"/>
                <w:lang w:eastAsia="en-GB"/>
              </w:rPr>
            </w:pPr>
            <w:r w:rsidRPr="00035058">
              <w:rPr>
                <w:rFonts w:cs="Arial"/>
                <w:color w:val="000000"/>
                <w:szCs w:val="24"/>
                <w:lang w:eastAsia="en-GB"/>
              </w:rPr>
              <w:t xml:space="preserve">Based on figures above however, it can be concluded that all </w:t>
            </w:r>
            <w:r>
              <w:rPr>
                <w:rFonts w:cs="Arial"/>
                <w:color w:val="000000"/>
                <w:szCs w:val="24"/>
                <w:lang w:eastAsia="en-GB"/>
              </w:rPr>
              <w:t xml:space="preserve">complaints have been dealt with in line with our existing policy, procedures and </w:t>
            </w:r>
            <w:r w:rsidRPr="00035058">
              <w:rPr>
                <w:rFonts w:cs="Arial"/>
                <w:color w:val="000000"/>
                <w:szCs w:val="24"/>
                <w:lang w:eastAsia="en-GB"/>
              </w:rPr>
              <w:t>timescales</w:t>
            </w:r>
            <w:r>
              <w:rPr>
                <w:rFonts w:cs="Arial"/>
                <w:color w:val="000000"/>
                <w:szCs w:val="24"/>
                <w:lang w:eastAsia="en-GB"/>
              </w:rPr>
              <w:t xml:space="preserve">. </w:t>
            </w:r>
          </w:p>
        </w:tc>
      </w:tr>
      <w:tr w:rsidR="004E4347" w:rsidRPr="00035058" w14:paraId="43A0CE55" w14:textId="77777777" w:rsidTr="00523F25">
        <w:trPr>
          <w:trHeight w:val="232"/>
        </w:trPr>
        <w:tc>
          <w:tcPr>
            <w:tcW w:w="568" w:type="dxa"/>
          </w:tcPr>
          <w:p w14:paraId="04193468" w14:textId="77777777" w:rsidR="004E4347" w:rsidRPr="00035058" w:rsidRDefault="004E4347" w:rsidP="004E4347">
            <w:pPr>
              <w:pStyle w:val="NoSpacing"/>
              <w:rPr>
                <w:rFonts w:cs="Arial"/>
                <w:szCs w:val="24"/>
                <w:lang w:eastAsia="en-GB"/>
              </w:rPr>
            </w:pPr>
          </w:p>
        </w:tc>
        <w:tc>
          <w:tcPr>
            <w:tcW w:w="9497" w:type="dxa"/>
          </w:tcPr>
          <w:p w14:paraId="55FC1AE6" w14:textId="77777777" w:rsidR="004E4347" w:rsidRPr="00035058" w:rsidRDefault="004E4347" w:rsidP="004E4347">
            <w:pPr>
              <w:pStyle w:val="NoSpacing"/>
              <w:rPr>
                <w:rFonts w:cs="Arial"/>
                <w:color w:val="000000"/>
                <w:szCs w:val="24"/>
                <w:lang w:eastAsia="en-GB"/>
              </w:rPr>
            </w:pPr>
          </w:p>
        </w:tc>
      </w:tr>
      <w:tr w:rsidR="004E4347" w:rsidRPr="00035058" w14:paraId="3BB9AE93" w14:textId="77777777" w:rsidTr="00523F25">
        <w:trPr>
          <w:trHeight w:val="232"/>
        </w:trPr>
        <w:tc>
          <w:tcPr>
            <w:tcW w:w="568" w:type="dxa"/>
          </w:tcPr>
          <w:p w14:paraId="387DC29A" w14:textId="7BEF31EF" w:rsidR="004E4347" w:rsidRPr="006C3C11" w:rsidRDefault="004E4347" w:rsidP="004E4347">
            <w:pPr>
              <w:pStyle w:val="NoSpacing"/>
              <w:rPr>
                <w:rFonts w:cs="Arial"/>
                <w:b/>
                <w:szCs w:val="24"/>
                <w:lang w:eastAsia="en-GB"/>
              </w:rPr>
            </w:pPr>
            <w:r w:rsidRPr="006C3C11">
              <w:rPr>
                <w:rFonts w:cs="Arial"/>
                <w:b/>
                <w:szCs w:val="24"/>
                <w:lang w:eastAsia="en-GB"/>
              </w:rPr>
              <w:t>3</w:t>
            </w:r>
          </w:p>
        </w:tc>
        <w:tc>
          <w:tcPr>
            <w:tcW w:w="9497" w:type="dxa"/>
          </w:tcPr>
          <w:p w14:paraId="4B9F5CD8" w14:textId="4C33F4DE" w:rsidR="004E4347" w:rsidRPr="006C3C11" w:rsidRDefault="004E4347" w:rsidP="004E4347">
            <w:pPr>
              <w:pStyle w:val="NoSpacing"/>
              <w:rPr>
                <w:rFonts w:cs="Arial"/>
                <w:b/>
                <w:color w:val="000000"/>
                <w:szCs w:val="24"/>
                <w:lang w:eastAsia="en-GB"/>
              </w:rPr>
            </w:pPr>
            <w:r w:rsidRPr="006C3C11">
              <w:rPr>
                <w:rFonts w:cs="Arial"/>
                <w:b/>
                <w:color w:val="000000"/>
                <w:szCs w:val="24"/>
                <w:lang w:eastAsia="en-GB"/>
              </w:rPr>
              <w:t>Complaint outcomes</w:t>
            </w:r>
          </w:p>
        </w:tc>
      </w:tr>
      <w:tr w:rsidR="004E4347" w:rsidRPr="00035058" w14:paraId="6E1F14EB" w14:textId="77777777" w:rsidTr="00523F25">
        <w:trPr>
          <w:trHeight w:val="232"/>
        </w:trPr>
        <w:tc>
          <w:tcPr>
            <w:tcW w:w="568" w:type="dxa"/>
          </w:tcPr>
          <w:p w14:paraId="5D6B0AA7" w14:textId="77777777" w:rsidR="004E4347" w:rsidRPr="00035058" w:rsidRDefault="004E4347" w:rsidP="004E4347">
            <w:pPr>
              <w:pStyle w:val="NoSpacing"/>
              <w:rPr>
                <w:rFonts w:cs="Arial"/>
                <w:bCs/>
                <w:szCs w:val="24"/>
                <w:lang w:eastAsia="en-GB"/>
              </w:rPr>
            </w:pPr>
          </w:p>
        </w:tc>
        <w:tc>
          <w:tcPr>
            <w:tcW w:w="9497" w:type="dxa"/>
          </w:tcPr>
          <w:p w14:paraId="6E848CEB" w14:textId="77777777" w:rsidR="004E4347" w:rsidRPr="00035058" w:rsidRDefault="004E4347" w:rsidP="004E4347">
            <w:pPr>
              <w:pStyle w:val="NoSpacing"/>
              <w:rPr>
                <w:rFonts w:cs="Arial"/>
                <w:color w:val="000000"/>
                <w:szCs w:val="24"/>
                <w:lang w:eastAsia="en-GB"/>
              </w:rPr>
            </w:pPr>
          </w:p>
        </w:tc>
      </w:tr>
      <w:tr w:rsidR="004E4347" w:rsidRPr="00035058" w14:paraId="57B2229E" w14:textId="77777777" w:rsidTr="00523F25">
        <w:trPr>
          <w:trHeight w:val="232"/>
        </w:trPr>
        <w:tc>
          <w:tcPr>
            <w:tcW w:w="568" w:type="dxa"/>
          </w:tcPr>
          <w:p w14:paraId="562DDB47" w14:textId="2D411BD9" w:rsidR="004E4347" w:rsidRPr="00035058" w:rsidRDefault="006C3C11" w:rsidP="004E4347">
            <w:pPr>
              <w:pStyle w:val="NoSpacing"/>
              <w:rPr>
                <w:rFonts w:cs="Arial"/>
                <w:szCs w:val="24"/>
                <w:lang w:eastAsia="en-GB"/>
              </w:rPr>
            </w:pPr>
            <w:r>
              <w:rPr>
                <w:rFonts w:cs="Arial"/>
                <w:szCs w:val="24"/>
                <w:lang w:eastAsia="en-GB"/>
              </w:rPr>
              <w:t>3.1</w:t>
            </w:r>
          </w:p>
        </w:tc>
        <w:tc>
          <w:tcPr>
            <w:tcW w:w="9497" w:type="dxa"/>
          </w:tcPr>
          <w:p w14:paraId="38420477" w14:textId="3D888BBF" w:rsidR="004E4347" w:rsidRPr="00035058" w:rsidRDefault="006C3C11" w:rsidP="004E4347">
            <w:pPr>
              <w:pStyle w:val="NoSpacing"/>
              <w:rPr>
                <w:rFonts w:cs="Arial"/>
                <w:color w:val="000000"/>
                <w:szCs w:val="24"/>
                <w:lang w:eastAsia="en-GB"/>
              </w:rPr>
            </w:pPr>
            <w:r>
              <w:rPr>
                <w:rFonts w:cs="Arial"/>
                <w:color w:val="000000"/>
                <w:szCs w:val="24"/>
                <w:lang w:eastAsia="en-GB"/>
              </w:rPr>
              <w:t>All three complaints were investigated thoroughly, and in each case the Liversage Trust was found not to be at fault</w:t>
            </w:r>
            <w:r w:rsidR="007D2952">
              <w:rPr>
                <w:rFonts w:cs="Arial"/>
                <w:color w:val="000000"/>
                <w:szCs w:val="24"/>
                <w:lang w:eastAsia="en-GB"/>
              </w:rPr>
              <w:t>.</w:t>
            </w:r>
            <w:r>
              <w:rPr>
                <w:rFonts w:cs="Arial"/>
                <w:color w:val="000000"/>
                <w:szCs w:val="24"/>
                <w:lang w:eastAsia="en-GB"/>
              </w:rPr>
              <w:t xml:space="preserve"> </w:t>
            </w:r>
          </w:p>
        </w:tc>
      </w:tr>
      <w:tr w:rsidR="004E4347" w:rsidRPr="00035058" w14:paraId="641A19BC" w14:textId="77777777" w:rsidTr="00523F25">
        <w:trPr>
          <w:trHeight w:val="232"/>
        </w:trPr>
        <w:tc>
          <w:tcPr>
            <w:tcW w:w="568" w:type="dxa"/>
          </w:tcPr>
          <w:p w14:paraId="67E6FBFC" w14:textId="77777777" w:rsidR="004E4347" w:rsidRPr="00035058" w:rsidRDefault="004E4347" w:rsidP="004E4347">
            <w:pPr>
              <w:pStyle w:val="NoSpacing"/>
              <w:rPr>
                <w:rFonts w:cs="Arial"/>
                <w:szCs w:val="24"/>
                <w:lang w:eastAsia="en-GB"/>
              </w:rPr>
            </w:pPr>
          </w:p>
        </w:tc>
        <w:tc>
          <w:tcPr>
            <w:tcW w:w="9497" w:type="dxa"/>
          </w:tcPr>
          <w:p w14:paraId="235DE4AA" w14:textId="77777777" w:rsidR="004E4347" w:rsidRPr="00035058" w:rsidRDefault="004E4347" w:rsidP="004E4347">
            <w:pPr>
              <w:pStyle w:val="NoSpacing"/>
              <w:rPr>
                <w:rFonts w:cs="Arial"/>
                <w:color w:val="000000"/>
                <w:szCs w:val="24"/>
                <w:lang w:eastAsia="en-GB"/>
              </w:rPr>
            </w:pPr>
          </w:p>
        </w:tc>
      </w:tr>
      <w:tr w:rsidR="004E4347" w:rsidRPr="00035058" w14:paraId="601456B8" w14:textId="77777777" w:rsidTr="00523F25">
        <w:trPr>
          <w:trHeight w:val="232"/>
        </w:trPr>
        <w:tc>
          <w:tcPr>
            <w:tcW w:w="568" w:type="dxa"/>
          </w:tcPr>
          <w:p w14:paraId="47D32497" w14:textId="6D265529" w:rsidR="004E4347" w:rsidRPr="007D2952" w:rsidRDefault="004E4347" w:rsidP="004E4347">
            <w:pPr>
              <w:pStyle w:val="NoSpacing"/>
              <w:rPr>
                <w:rFonts w:cs="Arial"/>
                <w:b/>
                <w:bCs/>
                <w:szCs w:val="24"/>
                <w:lang w:eastAsia="en-GB"/>
              </w:rPr>
            </w:pPr>
            <w:r w:rsidRPr="007D2952">
              <w:rPr>
                <w:rFonts w:cs="Arial"/>
                <w:b/>
                <w:bCs/>
                <w:szCs w:val="24"/>
                <w:lang w:eastAsia="en-GB"/>
              </w:rPr>
              <w:t>4</w:t>
            </w:r>
          </w:p>
        </w:tc>
        <w:tc>
          <w:tcPr>
            <w:tcW w:w="9497" w:type="dxa"/>
          </w:tcPr>
          <w:p w14:paraId="0A2F9FDB" w14:textId="28891354" w:rsidR="004E4347" w:rsidRPr="007D2952" w:rsidRDefault="004E4347" w:rsidP="004E4347">
            <w:pPr>
              <w:pStyle w:val="NoSpacing"/>
              <w:rPr>
                <w:rFonts w:cs="Arial"/>
                <w:b/>
                <w:bCs/>
                <w:color w:val="000000"/>
                <w:szCs w:val="24"/>
                <w:lang w:eastAsia="en-GB"/>
              </w:rPr>
            </w:pPr>
            <w:r w:rsidRPr="007D2952">
              <w:rPr>
                <w:rFonts w:cs="Arial"/>
                <w:b/>
                <w:bCs/>
                <w:color w:val="000000"/>
                <w:szCs w:val="24"/>
                <w:lang w:eastAsia="en-GB"/>
              </w:rPr>
              <w:t>Learning and Service Improvements</w:t>
            </w:r>
          </w:p>
        </w:tc>
      </w:tr>
      <w:tr w:rsidR="004E4347" w:rsidRPr="00035058" w14:paraId="3B821172" w14:textId="77777777" w:rsidTr="00523F25">
        <w:trPr>
          <w:trHeight w:val="232"/>
        </w:trPr>
        <w:tc>
          <w:tcPr>
            <w:tcW w:w="568" w:type="dxa"/>
          </w:tcPr>
          <w:p w14:paraId="74567A07" w14:textId="77777777" w:rsidR="004E4347" w:rsidRPr="00035058" w:rsidRDefault="004E4347" w:rsidP="004E4347">
            <w:pPr>
              <w:pStyle w:val="NoSpacing"/>
              <w:rPr>
                <w:rFonts w:cs="Arial"/>
                <w:szCs w:val="24"/>
                <w:lang w:eastAsia="en-GB"/>
              </w:rPr>
            </w:pPr>
          </w:p>
        </w:tc>
        <w:tc>
          <w:tcPr>
            <w:tcW w:w="9497" w:type="dxa"/>
          </w:tcPr>
          <w:p w14:paraId="3494620B" w14:textId="77777777" w:rsidR="004E4347" w:rsidRPr="00035058" w:rsidRDefault="004E4347" w:rsidP="004E4347">
            <w:pPr>
              <w:pStyle w:val="NoSpacing"/>
              <w:rPr>
                <w:rFonts w:cs="Arial"/>
                <w:color w:val="000000"/>
                <w:szCs w:val="24"/>
                <w:lang w:eastAsia="en-GB"/>
              </w:rPr>
            </w:pPr>
          </w:p>
        </w:tc>
      </w:tr>
      <w:tr w:rsidR="004E4347" w:rsidRPr="00035058" w14:paraId="792D3AAB" w14:textId="77777777" w:rsidTr="00523F25">
        <w:trPr>
          <w:trHeight w:val="232"/>
        </w:trPr>
        <w:tc>
          <w:tcPr>
            <w:tcW w:w="568" w:type="dxa"/>
          </w:tcPr>
          <w:p w14:paraId="7FBD854A" w14:textId="787C0DF6" w:rsidR="004E4347" w:rsidRPr="00035058" w:rsidRDefault="007D2952" w:rsidP="004E4347">
            <w:pPr>
              <w:pStyle w:val="NoSpacing"/>
              <w:rPr>
                <w:rFonts w:cs="Arial"/>
                <w:szCs w:val="24"/>
                <w:lang w:eastAsia="en-GB"/>
              </w:rPr>
            </w:pPr>
            <w:r>
              <w:rPr>
                <w:rFonts w:cs="Arial"/>
                <w:szCs w:val="24"/>
                <w:lang w:eastAsia="en-GB"/>
              </w:rPr>
              <w:t>4.1</w:t>
            </w:r>
          </w:p>
        </w:tc>
        <w:tc>
          <w:tcPr>
            <w:tcW w:w="9497" w:type="dxa"/>
          </w:tcPr>
          <w:p w14:paraId="24AF6E75" w14:textId="03A271F6" w:rsidR="004E4347" w:rsidRPr="00035058" w:rsidRDefault="007D2952" w:rsidP="004E4347">
            <w:pPr>
              <w:pStyle w:val="NoSpacing"/>
              <w:rPr>
                <w:rFonts w:cs="Arial"/>
                <w:szCs w:val="24"/>
              </w:rPr>
            </w:pPr>
            <w:r>
              <w:rPr>
                <w:rFonts w:cs="Arial"/>
                <w:szCs w:val="24"/>
              </w:rPr>
              <w:t xml:space="preserve">The Housing Ombudsman complaint handling code focusses on learning from complaints and the Liversage Trust is committed to this principle. </w:t>
            </w:r>
          </w:p>
        </w:tc>
      </w:tr>
      <w:tr w:rsidR="007D2952" w:rsidRPr="00035058" w14:paraId="347C284A" w14:textId="77777777" w:rsidTr="00523F25">
        <w:trPr>
          <w:trHeight w:val="232"/>
        </w:trPr>
        <w:tc>
          <w:tcPr>
            <w:tcW w:w="568" w:type="dxa"/>
          </w:tcPr>
          <w:p w14:paraId="637AE91E" w14:textId="77777777" w:rsidR="007D2952" w:rsidRDefault="007D2952" w:rsidP="004E4347">
            <w:pPr>
              <w:pStyle w:val="NoSpacing"/>
              <w:rPr>
                <w:rFonts w:cs="Arial"/>
                <w:szCs w:val="24"/>
                <w:lang w:eastAsia="en-GB"/>
              </w:rPr>
            </w:pPr>
          </w:p>
        </w:tc>
        <w:tc>
          <w:tcPr>
            <w:tcW w:w="9497" w:type="dxa"/>
          </w:tcPr>
          <w:p w14:paraId="7D4E00A8" w14:textId="77777777" w:rsidR="007D2952" w:rsidRDefault="007D2952" w:rsidP="004E4347">
            <w:pPr>
              <w:pStyle w:val="NoSpacing"/>
              <w:rPr>
                <w:rFonts w:cs="Arial"/>
                <w:szCs w:val="24"/>
              </w:rPr>
            </w:pPr>
          </w:p>
        </w:tc>
      </w:tr>
      <w:tr w:rsidR="007D2952" w:rsidRPr="00035058" w14:paraId="7C957D18" w14:textId="77777777" w:rsidTr="00523F25">
        <w:trPr>
          <w:trHeight w:val="232"/>
        </w:trPr>
        <w:tc>
          <w:tcPr>
            <w:tcW w:w="568" w:type="dxa"/>
          </w:tcPr>
          <w:p w14:paraId="0CFEBA49" w14:textId="3746456D" w:rsidR="007D2952" w:rsidRDefault="007D2952" w:rsidP="004E4347">
            <w:pPr>
              <w:pStyle w:val="NoSpacing"/>
              <w:rPr>
                <w:rFonts w:cs="Arial"/>
                <w:szCs w:val="24"/>
                <w:lang w:eastAsia="en-GB"/>
              </w:rPr>
            </w:pPr>
            <w:r>
              <w:rPr>
                <w:rFonts w:cs="Arial"/>
                <w:szCs w:val="24"/>
                <w:lang w:eastAsia="en-GB"/>
              </w:rPr>
              <w:t>4.2</w:t>
            </w:r>
          </w:p>
        </w:tc>
        <w:tc>
          <w:tcPr>
            <w:tcW w:w="9497" w:type="dxa"/>
          </w:tcPr>
          <w:p w14:paraId="5BFB89A6" w14:textId="4A08EAF5" w:rsidR="00CD6F22" w:rsidRDefault="007D2952" w:rsidP="004E4347">
            <w:pPr>
              <w:pStyle w:val="NoSpacing"/>
              <w:rPr>
                <w:rFonts w:cs="Arial"/>
                <w:szCs w:val="24"/>
              </w:rPr>
            </w:pPr>
            <w:r>
              <w:rPr>
                <w:rFonts w:cs="Arial"/>
                <w:szCs w:val="24"/>
              </w:rPr>
              <w:t xml:space="preserve">During 2023/24, there were no clear lessons to be learned, with each case being </w:t>
            </w:r>
            <w:r w:rsidR="000E1C10">
              <w:rPr>
                <w:rFonts w:cs="Arial"/>
                <w:szCs w:val="24"/>
              </w:rPr>
              <w:t>looked at on its own merit</w:t>
            </w:r>
            <w:r w:rsidR="00BA4F5F">
              <w:rPr>
                <w:rFonts w:cs="Arial"/>
                <w:szCs w:val="24"/>
              </w:rPr>
              <w:t xml:space="preserve">, </w:t>
            </w:r>
            <w:r w:rsidR="00CD6F22">
              <w:rPr>
                <w:rFonts w:cs="Arial"/>
                <w:szCs w:val="24"/>
              </w:rPr>
              <w:t>and in each case the Trust being found not to be at fault</w:t>
            </w:r>
            <w:r w:rsidR="000E1C10">
              <w:rPr>
                <w:rFonts w:cs="Arial"/>
                <w:szCs w:val="24"/>
              </w:rPr>
              <w:t>.</w:t>
            </w:r>
            <w:r w:rsidR="00CD6F22">
              <w:rPr>
                <w:rFonts w:cs="Arial"/>
                <w:szCs w:val="24"/>
              </w:rPr>
              <w:t xml:space="preserve"> Cases covered the following areas: </w:t>
            </w:r>
          </w:p>
          <w:p w14:paraId="025EFE26" w14:textId="1E6F4CD9" w:rsidR="00CD6F22" w:rsidRDefault="00CD6F22" w:rsidP="00CD6F22">
            <w:pPr>
              <w:pStyle w:val="NoSpacing"/>
              <w:numPr>
                <w:ilvl w:val="0"/>
                <w:numId w:val="24"/>
              </w:numPr>
              <w:rPr>
                <w:rFonts w:cs="Arial"/>
                <w:szCs w:val="24"/>
              </w:rPr>
            </w:pPr>
            <w:r>
              <w:rPr>
                <w:rFonts w:cs="Arial"/>
                <w:szCs w:val="24"/>
              </w:rPr>
              <w:t xml:space="preserve">appointment to a property and subsequent WMC charges following vacation of </w:t>
            </w:r>
            <w:r w:rsidR="00BA4F5F">
              <w:rPr>
                <w:rFonts w:cs="Arial"/>
                <w:szCs w:val="24"/>
              </w:rPr>
              <w:t xml:space="preserve">the </w:t>
            </w:r>
            <w:r>
              <w:rPr>
                <w:rFonts w:cs="Arial"/>
                <w:szCs w:val="24"/>
              </w:rPr>
              <w:t>property</w:t>
            </w:r>
          </w:p>
          <w:p w14:paraId="1148B087" w14:textId="00A05949" w:rsidR="00CD6F22" w:rsidRDefault="00CD6F22" w:rsidP="00CD6F22">
            <w:pPr>
              <w:pStyle w:val="NoSpacing"/>
              <w:numPr>
                <w:ilvl w:val="0"/>
                <w:numId w:val="24"/>
              </w:numPr>
              <w:rPr>
                <w:rFonts w:cs="Arial"/>
                <w:szCs w:val="24"/>
              </w:rPr>
            </w:pPr>
            <w:r>
              <w:rPr>
                <w:rFonts w:cs="Arial"/>
                <w:szCs w:val="24"/>
              </w:rPr>
              <w:t>repair to drains</w:t>
            </w:r>
          </w:p>
          <w:p w14:paraId="233D2A89" w14:textId="3A3833A2" w:rsidR="000E1C10" w:rsidRDefault="00CD6F22" w:rsidP="00CD6F22">
            <w:pPr>
              <w:pStyle w:val="NoSpacing"/>
              <w:numPr>
                <w:ilvl w:val="0"/>
                <w:numId w:val="24"/>
              </w:numPr>
              <w:rPr>
                <w:rFonts w:cs="Arial"/>
                <w:szCs w:val="24"/>
              </w:rPr>
            </w:pPr>
            <w:r w:rsidRPr="00CD6F22">
              <w:rPr>
                <w:rFonts w:cs="Arial"/>
                <w:szCs w:val="24"/>
              </w:rPr>
              <w:t xml:space="preserve">WMC / Care Home charges and communication </w:t>
            </w:r>
          </w:p>
        </w:tc>
      </w:tr>
      <w:tr w:rsidR="00CD6F22" w:rsidRPr="00035058" w14:paraId="2137A61A" w14:textId="77777777" w:rsidTr="00523F25">
        <w:trPr>
          <w:trHeight w:val="232"/>
        </w:trPr>
        <w:tc>
          <w:tcPr>
            <w:tcW w:w="568" w:type="dxa"/>
          </w:tcPr>
          <w:p w14:paraId="59A72154" w14:textId="77777777" w:rsidR="00CD6F22" w:rsidRPr="00035058" w:rsidRDefault="00CD6F22" w:rsidP="004E4347">
            <w:pPr>
              <w:pStyle w:val="NoSpacing"/>
              <w:rPr>
                <w:rFonts w:cs="Arial"/>
                <w:szCs w:val="24"/>
                <w:lang w:eastAsia="en-GB"/>
              </w:rPr>
            </w:pPr>
          </w:p>
        </w:tc>
        <w:tc>
          <w:tcPr>
            <w:tcW w:w="9497" w:type="dxa"/>
          </w:tcPr>
          <w:p w14:paraId="7BB671C6" w14:textId="77777777" w:rsidR="00CD6F22" w:rsidRPr="00035058" w:rsidRDefault="00CD6F22" w:rsidP="004E4347">
            <w:pPr>
              <w:pStyle w:val="NoSpacing"/>
              <w:rPr>
                <w:rFonts w:cs="Arial"/>
                <w:szCs w:val="24"/>
              </w:rPr>
            </w:pPr>
          </w:p>
        </w:tc>
      </w:tr>
      <w:tr w:rsidR="004E4347" w:rsidRPr="00035058" w14:paraId="779664C3" w14:textId="77777777" w:rsidTr="00523F25">
        <w:trPr>
          <w:trHeight w:val="232"/>
        </w:trPr>
        <w:tc>
          <w:tcPr>
            <w:tcW w:w="568" w:type="dxa"/>
          </w:tcPr>
          <w:p w14:paraId="5730ACDA" w14:textId="595B7C6C" w:rsidR="004E4347" w:rsidRPr="00035058" w:rsidRDefault="00CD6F22" w:rsidP="004E4347">
            <w:pPr>
              <w:pStyle w:val="NoSpacing"/>
              <w:rPr>
                <w:rFonts w:cs="Arial"/>
                <w:szCs w:val="24"/>
                <w:lang w:eastAsia="en-GB"/>
              </w:rPr>
            </w:pPr>
            <w:r>
              <w:rPr>
                <w:rFonts w:cs="Arial"/>
                <w:szCs w:val="24"/>
                <w:lang w:eastAsia="en-GB"/>
              </w:rPr>
              <w:t>4.3</w:t>
            </w:r>
          </w:p>
        </w:tc>
        <w:tc>
          <w:tcPr>
            <w:tcW w:w="9497" w:type="dxa"/>
          </w:tcPr>
          <w:p w14:paraId="0164156B" w14:textId="387CB516" w:rsidR="004E4347" w:rsidRPr="00035058" w:rsidRDefault="00CD6F22" w:rsidP="004E4347">
            <w:pPr>
              <w:pStyle w:val="NoSpacing"/>
              <w:rPr>
                <w:rFonts w:cs="Arial"/>
                <w:szCs w:val="24"/>
              </w:rPr>
            </w:pPr>
            <w:r>
              <w:rPr>
                <w:rFonts w:cs="Arial"/>
                <w:szCs w:val="24"/>
              </w:rPr>
              <w:t xml:space="preserve">Each of the cases were responded to within timescales, and while there was some overlap in two cases relating to WMC charges, circumstances in both cases were very different and charges applied correctly, in line with the requirement to give 4 weeks’ notice. </w:t>
            </w:r>
            <w:r w:rsidR="00BA4F5F">
              <w:rPr>
                <w:rFonts w:cs="Arial"/>
                <w:szCs w:val="24"/>
              </w:rPr>
              <w:t xml:space="preserve">There were no correlations between cases. </w:t>
            </w:r>
          </w:p>
        </w:tc>
      </w:tr>
      <w:tr w:rsidR="00CD6F22" w:rsidRPr="00035058" w14:paraId="053065A0" w14:textId="77777777" w:rsidTr="00523F25">
        <w:trPr>
          <w:trHeight w:val="232"/>
        </w:trPr>
        <w:tc>
          <w:tcPr>
            <w:tcW w:w="568" w:type="dxa"/>
          </w:tcPr>
          <w:p w14:paraId="691E6004" w14:textId="77777777" w:rsidR="00CD6F22" w:rsidRPr="00035058" w:rsidRDefault="00CD6F22" w:rsidP="004E4347">
            <w:pPr>
              <w:pStyle w:val="NoSpacing"/>
              <w:rPr>
                <w:rFonts w:cs="Arial"/>
                <w:szCs w:val="24"/>
                <w:lang w:eastAsia="en-GB"/>
              </w:rPr>
            </w:pPr>
          </w:p>
        </w:tc>
        <w:tc>
          <w:tcPr>
            <w:tcW w:w="9497" w:type="dxa"/>
          </w:tcPr>
          <w:p w14:paraId="4D565CBC" w14:textId="77777777" w:rsidR="00CD6F22" w:rsidRDefault="00CD6F22" w:rsidP="004E4347">
            <w:pPr>
              <w:pStyle w:val="NoSpacing"/>
              <w:rPr>
                <w:rFonts w:cs="Arial"/>
                <w:szCs w:val="24"/>
              </w:rPr>
            </w:pPr>
          </w:p>
        </w:tc>
      </w:tr>
      <w:tr w:rsidR="004E4347" w:rsidRPr="00035058" w14:paraId="3AE4275E" w14:textId="77777777" w:rsidTr="00523F25">
        <w:trPr>
          <w:trHeight w:val="228"/>
        </w:trPr>
        <w:tc>
          <w:tcPr>
            <w:tcW w:w="568" w:type="dxa"/>
          </w:tcPr>
          <w:p w14:paraId="75D2FCB6" w14:textId="149A3862" w:rsidR="004E4347" w:rsidRPr="007D2952" w:rsidRDefault="007D2952" w:rsidP="004E4347">
            <w:pPr>
              <w:pStyle w:val="NoSpacing"/>
              <w:rPr>
                <w:rFonts w:cs="Arial"/>
                <w:b/>
                <w:bCs/>
                <w:szCs w:val="24"/>
                <w:lang w:eastAsia="en-GB"/>
              </w:rPr>
            </w:pPr>
            <w:r w:rsidRPr="007D2952">
              <w:rPr>
                <w:rFonts w:cs="Arial"/>
                <w:b/>
                <w:bCs/>
                <w:szCs w:val="24"/>
                <w:lang w:eastAsia="en-GB"/>
              </w:rPr>
              <w:t>5</w:t>
            </w:r>
          </w:p>
        </w:tc>
        <w:tc>
          <w:tcPr>
            <w:tcW w:w="9497" w:type="dxa"/>
          </w:tcPr>
          <w:p w14:paraId="3A35BEC4" w14:textId="6519029F" w:rsidR="004E4347" w:rsidRPr="007D2952" w:rsidRDefault="004E4347" w:rsidP="004E4347">
            <w:pPr>
              <w:pStyle w:val="NoSpacing"/>
              <w:rPr>
                <w:rFonts w:cs="Arial"/>
                <w:b/>
                <w:bCs/>
                <w:szCs w:val="24"/>
                <w:lang w:eastAsia="en-GB"/>
              </w:rPr>
            </w:pPr>
            <w:r w:rsidRPr="007D2952">
              <w:rPr>
                <w:rFonts w:cs="Arial"/>
                <w:b/>
                <w:bCs/>
                <w:szCs w:val="24"/>
                <w:lang w:eastAsia="en-GB"/>
              </w:rPr>
              <w:t xml:space="preserve">Housing Ombudsman determinations </w:t>
            </w:r>
          </w:p>
        </w:tc>
      </w:tr>
      <w:tr w:rsidR="004E4347" w:rsidRPr="00035058" w14:paraId="4A66156C" w14:textId="77777777" w:rsidTr="00523F25">
        <w:trPr>
          <w:trHeight w:val="228"/>
        </w:trPr>
        <w:tc>
          <w:tcPr>
            <w:tcW w:w="568" w:type="dxa"/>
          </w:tcPr>
          <w:p w14:paraId="26A9554B" w14:textId="77777777" w:rsidR="004E4347" w:rsidRPr="00035058" w:rsidRDefault="004E4347" w:rsidP="004E4347">
            <w:pPr>
              <w:pStyle w:val="NoSpacing"/>
              <w:rPr>
                <w:rFonts w:cs="Arial"/>
                <w:szCs w:val="24"/>
                <w:lang w:eastAsia="en-GB"/>
              </w:rPr>
            </w:pPr>
          </w:p>
        </w:tc>
        <w:tc>
          <w:tcPr>
            <w:tcW w:w="9497" w:type="dxa"/>
          </w:tcPr>
          <w:p w14:paraId="4939D325" w14:textId="77777777" w:rsidR="004E4347" w:rsidRPr="00035058" w:rsidRDefault="004E4347" w:rsidP="004E4347">
            <w:pPr>
              <w:pStyle w:val="NoSpacing"/>
              <w:rPr>
                <w:rFonts w:cs="Arial"/>
                <w:szCs w:val="24"/>
                <w:lang w:eastAsia="en-GB"/>
              </w:rPr>
            </w:pPr>
          </w:p>
        </w:tc>
      </w:tr>
      <w:tr w:rsidR="004E4347" w:rsidRPr="00035058" w14:paraId="603DE54E" w14:textId="77777777" w:rsidTr="00523F25">
        <w:trPr>
          <w:trHeight w:val="228"/>
        </w:trPr>
        <w:tc>
          <w:tcPr>
            <w:tcW w:w="568" w:type="dxa"/>
          </w:tcPr>
          <w:p w14:paraId="03C20D49" w14:textId="277E849B" w:rsidR="004E4347" w:rsidRPr="00035058" w:rsidRDefault="000E1C10" w:rsidP="004E4347">
            <w:pPr>
              <w:pStyle w:val="NoSpacing"/>
              <w:rPr>
                <w:rFonts w:cs="Arial"/>
                <w:szCs w:val="24"/>
                <w:lang w:eastAsia="en-GB"/>
              </w:rPr>
            </w:pPr>
            <w:r>
              <w:rPr>
                <w:rFonts w:cs="Arial"/>
                <w:szCs w:val="24"/>
                <w:lang w:eastAsia="en-GB"/>
              </w:rPr>
              <w:t>5.1</w:t>
            </w:r>
          </w:p>
        </w:tc>
        <w:tc>
          <w:tcPr>
            <w:tcW w:w="9497" w:type="dxa"/>
          </w:tcPr>
          <w:p w14:paraId="468465B0" w14:textId="57CCCB3B" w:rsidR="007D2952" w:rsidRPr="00035058" w:rsidRDefault="004E4347" w:rsidP="000E1C10">
            <w:pPr>
              <w:pStyle w:val="NoSpacing"/>
              <w:rPr>
                <w:rFonts w:cs="Arial"/>
                <w:bCs/>
                <w:szCs w:val="24"/>
                <w:lang w:eastAsia="en-GB"/>
              </w:rPr>
            </w:pPr>
            <w:r w:rsidRPr="00035058">
              <w:rPr>
                <w:rFonts w:cs="Arial"/>
                <w:bCs/>
                <w:szCs w:val="24"/>
                <w:lang w:eastAsia="en-GB"/>
              </w:rPr>
              <w:t xml:space="preserve">One complaint has been referred to the Housing Ombudsman during 2023/24 and is currently waiting </w:t>
            </w:r>
            <w:r w:rsidR="000E1C10">
              <w:rPr>
                <w:rFonts w:cs="Arial"/>
                <w:bCs/>
                <w:szCs w:val="24"/>
                <w:lang w:eastAsia="en-GB"/>
              </w:rPr>
              <w:t>f</w:t>
            </w:r>
            <w:r w:rsidRPr="00035058">
              <w:rPr>
                <w:rFonts w:cs="Arial"/>
                <w:bCs/>
                <w:szCs w:val="24"/>
                <w:lang w:eastAsia="en-GB"/>
              </w:rPr>
              <w:t xml:space="preserve">or </w:t>
            </w:r>
            <w:r w:rsidR="00BA4F5F">
              <w:rPr>
                <w:rFonts w:cs="Arial"/>
                <w:bCs/>
                <w:szCs w:val="24"/>
                <w:lang w:eastAsia="en-GB"/>
              </w:rPr>
              <w:t xml:space="preserve">an </w:t>
            </w:r>
            <w:r w:rsidRPr="00035058">
              <w:rPr>
                <w:rFonts w:cs="Arial"/>
                <w:bCs/>
                <w:szCs w:val="24"/>
                <w:lang w:eastAsia="en-GB"/>
              </w:rPr>
              <w:t>assessment</w:t>
            </w:r>
            <w:r w:rsidR="00BA4F5F">
              <w:rPr>
                <w:rFonts w:cs="Arial"/>
                <w:bCs/>
                <w:szCs w:val="24"/>
                <w:lang w:eastAsia="en-GB"/>
              </w:rPr>
              <w:t xml:space="preserve"> to be completed. </w:t>
            </w:r>
            <w:r w:rsidRPr="00035058">
              <w:rPr>
                <w:rFonts w:cs="Arial"/>
                <w:bCs/>
                <w:szCs w:val="24"/>
                <w:lang w:eastAsia="en-GB"/>
              </w:rPr>
              <w:t xml:space="preserve"> </w:t>
            </w:r>
          </w:p>
        </w:tc>
      </w:tr>
      <w:tr w:rsidR="004E4347" w:rsidRPr="00035058" w14:paraId="64315F37" w14:textId="77777777" w:rsidTr="00523F25">
        <w:trPr>
          <w:trHeight w:val="228"/>
        </w:trPr>
        <w:tc>
          <w:tcPr>
            <w:tcW w:w="568" w:type="dxa"/>
          </w:tcPr>
          <w:p w14:paraId="7C106AAE" w14:textId="77777777" w:rsidR="004E4347" w:rsidRPr="00035058" w:rsidRDefault="004E4347" w:rsidP="004E4347">
            <w:pPr>
              <w:pStyle w:val="NoSpacing"/>
              <w:rPr>
                <w:rFonts w:cs="Arial"/>
                <w:szCs w:val="24"/>
                <w:lang w:eastAsia="en-GB"/>
              </w:rPr>
            </w:pPr>
          </w:p>
        </w:tc>
        <w:tc>
          <w:tcPr>
            <w:tcW w:w="9497" w:type="dxa"/>
          </w:tcPr>
          <w:p w14:paraId="1CD9A23A" w14:textId="77777777" w:rsidR="004E4347" w:rsidRPr="00035058" w:rsidRDefault="004E4347" w:rsidP="004E4347">
            <w:pPr>
              <w:pStyle w:val="NoSpacing"/>
              <w:rPr>
                <w:rFonts w:cs="Arial"/>
                <w:bCs/>
                <w:szCs w:val="24"/>
                <w:lang w:eastAsia="en-GB"/>
              </w:rPr>
            </w:pPr>
          </w:p>
        </w:tc>
      </w:tr>
      <w:tr w:rsidR="004E4347" w:rsidRPr="00035058" w14:paraId="1D75D7E4" w14:textId="77777777" w:rsidTr="00523F25">
        <w:trPr>
          <w:trHeight w:val="228"/>
        </w:trPr>
        <w:tc>
          <w:tcPr>
            <w:tcW w:w="568" w:type="dxa"/>
          </w:tcPr>
          <w:p w14:paraId="65BDBF23" w14:textId="08D3B3EE" w:rsidR="004E4347" w:rsidRPr="00035058" w:rsidRDefault="000E1C10" w:rsidP="004E4347">
            <w:pPr>
              <w:pStyle w:val="NoSpacing"/>
              <w:rPr>
                <w:rFonts w:cs="Arial"/>
                <w:szCs w:val="24"/>
                <w:lang w:eastAsia="en-GB"/>
              </w:rPr>
            </w:pPr>
            <w:r>
              <w:rPr>
                <w:rFonts w:cs="Arial"/>
                <w:szCs w:val="24"/>
                <w:lang w:eastAsia="en-GB"/>
              </w:rPr>
              <w:t>5.2</w:t>
            </w:r>
          </w:p>
        </w:tc>
        <w:tc>
          <w:tcPr>
            <w:tcW w:w="9497" w:type="dxa"/>
          </w:tcPr>
          <w:p w14:paraId="3B5A9794" w14:textId="07C75AE1" w:rsidR="004E4347" w:rsidRPr="00035058" w:rsidRDefault="004E4347" w:rsidP="004E4347">
            <w:pPr>
              <w:pStyle w:val="NoSpacing"/>
              <w:rPr>
                <w:rFonts w:cs="Arial"/>
                <w:bCs/>
                <w:szCs w:val="24"/>
                <w:lang w:eastAsia="en-GB"/>
              </w:rPr>
            </w:pPr>
            <w:r w:rsidRPr="00035058">
              <w:rPr>
                <w:rFonts w:cs="Arial"/>
                <w:bCs/>
                <w:szCs w:val="24"/>
                <w:lang w:eastAsia="en-GB"/>
              </w:rPr>
              <w:t xml:space="preserve">There have been no determinations of non-compliance </w:t>
            </w:r>
            <w:r w:rsidR="00BA4F5F">
              <w:rPr>
                <w:rFonts w:cs="Arial"/>
                <w:bCs/>
                <w:szCs w:val="24"/>
                <w:lang w:eastAsia="en-GB"/>
              </w:rPr>
              <w:t xml:space="preserve">by the Liversage Trust </w:t>
            </w:r>
            <w:r w:rsidRPr="00035058">
              <w:rPr>
                <w:rFonts w:cs="Arial"/>
                <w:bCs/>
                <w:szCs w:val="24"/>
                <w:lang w:eastAsia="en-GB"/>
              </w:rPr>
              <w:t>made from the Housing Ombudsman</w:t>
            </w:r>
            <w:r w:rsidR="00BA4F5F">
              <w:rPr>
                <w:rFonts w:cs="Arial"/>
                <w:bCs/>
                <w:szCs w:val="24"/>
                <w:lang w:eastAsia="en-GB"/>
              </w:rPr>
              <w:t xml:space="preserve">, </w:t>
            </w:r>
            <w:r w:rsidR="000E1C10">
              <w:rPr>
                <w:rFonts w:cs="Arial"/>
                <w:bCs/>
                <w:szCs w:val="24"/>
                <w:lang w:eastAsia="en-GB"/>
              </w:rPr>
              <w:t>during 2023</w:t>
            </w:r>
            <w:r w:rsidR="00CD6F22">
              <w:rPr>
                <w:rFonts w:cs="Arial"/>
                <w:bCs/>
                <w:szCs w:val="24"/>
                <w:lang w:eastAsia="en-GB"/>
              </w:rPr>
              <w:t>/</w:t>
            </w:r>
            <w:r w:rsidR="000E1C10">
              <w:rPr>
                <w:rFonts w:cs="Arial"/>
                <w:bCs/>
                <w:szCs w:val="24"/>
                <w:lang w:eastAsia="en-GB"/>
              </w:rPr>
              <w:t>24</w:t>
            </w:r>
            <w:r w:rsidRPr="00035058">
              <w:rPr>
                <w:rFonts w:cs="Arial"/>
                <w:bCs/>
                <w:szCs w:val="24"/>
                <w:lang w:eastAsia="en-GB"/>
              </w:rPr>
              <w:t xml:space="preserve">. </w:t>
            </w:r>
          </w:p>
        </w:tc>
      </w:tr>
      <w:tr w:rsidR="004E4347" w:rsidRPr="00035058" w14:paraId="34A3F3A2" w14:textId="77777777" w:rsidTr="00523F25">
        <w:trPr>
          <w:trHeight w:val="228"/>
        </w:trPr>
        <w:tc>
          <w:tcPr>
            <w:tcW w:w="568" w:type="dxa"/>
          </w:tcPr>
          <w:p w14:paraId="4CE81879" w14:textId="77777777" w:rsidR="004E4347" w:rsidRPr="00035058" w:rsidRDefault="004E4347" w:rsidP="004E4347">
            <w:pPr>
              <w:pStyle w:val="NoSpacing"/>
              <w:rPr>
                <w:rFonts w:cs="Arial"/>
                <w:szCs w:val="24"/>
                <w:lang w:eastAsia="en-GB"/>
              </w:rPr>
            </w:pPr>
          </w:p>
        </w:tc>
        <w:tc>
          <w:tcPr>
            <w:tcW w:w="9497" w:type="dxa"/>
          </w:tcPr>
          <w:p w14:paraId="7EFFC134" w14:textId="77777777" w:rsidR="004E4347" w:rsidRPr="00035058" w:rsidRDefault="004E4347" w:rsidP="004E4347">
            <w:pPr>
              <w:pStyle w:val="NoSpacing"/>
              <w:rPr>
                <w:rFonts w:cs="Arial"/>
                <w:bCs/>
                <w:szCs w:val="24"/>
                <w:lang w:eastAsia="en-GB"/>
              </w:rPr>
            </w:pPr>
          </w:p>
        </w:tc>
      </w:tr>
    </w:tbl>
    <w:p w14:paraId="3A2E7220" w14:textId="77777777" w:rsidR="00DC60A8" w:rsidRPr="00035058" w:rsidRDefault="00DC60A8" w:rsidP="00035058">
      <w:pPr>
        <w:pStyle w:val="NoSpacing"/>
        <w:rPr>
          <w:rFonts w:cs="Arial"/>
          <w:szCs w:val="24"/>
        </w:rPr>
      </w:pPr>
    </w:p>
    <w:sectPr w:rsidR="00DC60A8" w:rsidRPr="00035058" w:rsidSect="008D280D">
      <w:footerReference w:type="default" r:id="rId10"/>
      <w:pgSz w:w="11906" w:h="16838"/>
      <w:pgMar w:top="1134" w:right="1134" w:bottom="851" w:left="1134"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1970" w14:textId="77777777" w:rsidR="008D280D" w:rsidRDefault="008D280D" w:rsidP="00C75E5D">
      <w:pPr>
        <w:spacing w:after="0" w:line="240" w:lineRule="auto"/>
      </w:pPr>
      <w:r>
        <w:separator/>
      </w:r>
    </w:p>
  </w:endnote>
  <w:endnote w:type="continuationSeparator" w:id="0">
    <w:p w14:paraId="4FFD030F" w14:textId="77777777" w:rsidR="008D280D" w:rsidRDefault="008D280D" w:rsidP="00C7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828165"/>
      <w:docPartObj>
        <w:docPartGallery w:val="Page Numbers (Bottom of Page)"/>
        <w:docPartUnique/>
      </w:docPartObj>
    </w:sdtPr>
    <w:sdtEndPr/>
    <w:sdtContent>
      <w:sdt>
        <w:sdtPr>
          <w:id w:val="-1669238322"/>
          <w:docPartObj>
            <w:docPartGallery w:val="Page Numbers (Top of Page)"/>
            <w:docPartUnique/>
          </w:docPartObj>
        </w:sdtPr>
        <w:sdtEndPr/>
        <w:sdtContent>
          <w:p w14:paraId="05FDDC11" w14:textId="2CDF2DC0" w:rsidR="00C75E5D" w:rsidRDefault="00C75E5D">
            <w:pPr>
              <w:pStyle w:val="Footer"/>
              <w:jc w:val="center"/>
            </w:pPr>
            <w:r w:rsidRPr="00C75E5D">
              <w:t xml:space="preserve">Page </w:t>
            </w:r>
            <w:r w:rsidRPr="00C75E5D">
              <w:rPr>
                <w:bCs/>
                <w:szCs w:val="24"/>
              </w:rPr>
              <w:fldChar w:fldCharType="begin"/>
            </w:r>
            <w:r w:rsidRPr="00C75E5D">
              <w:rPr>
                <w:bCs/>
              </w:rPr>
              <w:instrText xml:space="preserve"> PAGE </w:instrText>
            </w:r>
            <w:r w:rsidRPr="00C75E5D">
              <w:rPr>
                <w:bCs/>
                <w:szCs w:val="24"/>
              </w:rPr>
              <w:fldChar w:fldCharType="separate"/>
            </w:r>
            <w:r w:rsidR="00D0013B">
              <w:rPr>
                <w:bCs/>
                <w:noProof/>
              </w:rPr>
              <w:t>2</w:t>
            </w:r>
            <w:r w:rsidRPr="00C75E5D">
              <w:rPr>
                <w:bCs/>
                <w:szCs w:val="24"/>
              </w:rPr>
              <w:fldChar w:fldCharType="end"/>
            </w:r>
            <w:r w:rsidRPr="00C75E5D">
              <w:t xml:space="preserve"> of </w:t>
            </w:r>
            <w:r w:rsidRPr="00C75E5D">
              <w:rPr>
                <w:bCs/>
                <w:szCs w:val="24"/>
              </w:rPr>
              <w:fldChar w:fldCharType="begin"/>
            </w:r>
            <w:r w:rsidRPr="00C75E5D">
              <w:rPr>
                <w:bCs/>
              </w:rPr>
              <w:instrText xml:space="preserve"> NUMPAGES  </w:instrText>
            </w:r>
            <w:r w:rsidRPr="00C75E5D">
              <w:rPr>
                <w:bCs/>
                <w:szCs w:val="24"/>
              </w:rPr>
              <w:fldChar w:fldCharType="separate"/>
            </w:r>
            <w:r w:rsidR="00D0013B">
              <w:rPr>
                <w:bCs/>
                <w:noProof/>
              </w:rPr>
              <w:t>3</w:t>
            </w:r>
            <w:r w:rsidRPr="00C75E5D">
              <w:rPr>
                <w:bCs/>
                <w:szCs w:val="24"/>
              </w:rPr>
              <w:fldChar w:fldCharType="end"/>
            </w:r>
          </w:p>
        </w:sdtContent>
      </w:sdt>
    </w:sdtContent>
  </w:sdt>
  <w:p w14:paraId="76F02701" w14:textId="77777777" w:rsidR="002F2770" w:rsidRDefault="002F277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89B9" w14:textId="77777777" w:rsidR="008D280D" w:rsidRDefault="008D280D" w:rsidP="00C75E5D">
      <w:pPr>
        <w:spacing w:after="0" w:line="240" w:lineRule="auto"/>
      </w:pPr>
      <w:r>
        <w:separator/>
      </w:r>
    </w:p>
  </w:footnote>
  <w:footnote w:type="continuationSeparator" w:id="0">
    <w:p w14:paraId="296CBB47" w14:textId="77777777" w:rsidR="008D280D" w:rsidRDefault="008D280D" w:rsidP="00C75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3E86"/>
    <w:multiLevelType w:val="multilevel"/>
    <w:tmpl w:val="AD2E722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 w15:restartNumberingAfterBreak="0">
    <w:nsid w:val="199634EC"/>
    <w:multiLevelType w:val="hybridMultilevel"/>
    <w:tmpl w:val="1FEE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07B98"/>
    <w:multiLevelType w:val="multilevel"/>
    <w:tmpl w:val="943E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125BA"/>
    <w:multiLevelType w:val="hybridMultilevel"/>
    <w:tmpl w:val="4A9C9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B2942"/>
    <w:multiLevelType w:val="hybridMultilevel"/>
    <w:tmpl w:val="E3B2B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B374F0"/>
    <w:multiLevelType w:val="hybridMultilevel"/>
    <w:tmpl w:val="CD8C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AB3F07"/>
    <w:multiLevelType w:val="hybridMultilevel"/>
    <w:tmpl w:val="50983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312C4E"/>
    <w:multiLevelType w:val="multilevel"/>
    <w:tmpl w:val="CDA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70DBA"/>
    <w:multiLevelType w:val="hybridMultilevel"/>
    <w:tmpl w:val="AA4A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8624B"/>
    <w:multiLevelType w:val="multilevel"/>
    <w:tmpl w:val="34620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710B0"/>
    <w:multiLevelType w:val="multilevel"/>
    <w:tmpl w:val="CEF8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F603D"/>
    <w:multiLevelType w:val="hybridMultilevel"/>
    <w:tmpl w:val="921E0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350BA4"/>
    <w:multiLevelType w:val="multilevel"/>
    <w:tmpl w:val="716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A33B7"/>
    <w:multiLevelType w:val="multilevel"/>
    <w:tmpl w:val="6B8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308C1"/>
    <w:multiLevelType w:val="hybridMultilevel"/>
    <w:tmpl w:val="4F2A76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D21FE"/>
    <w:multiLevelType w:val="multilevel"/>
    <w:tmpl w:val="90C2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D06F6"/>
    <w:multiLevelType w:val="hybridMultilevel"/>
    <w:tmpl w:val="55F02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20C8E"/>
    <w:multiLevelType w:val="hybridMultilevel"/>
    <w:tmpl w:val="9710C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033ECF"/>
    <w:multiLevelType w:val="hybridMultilevel"/>
    <w:tmpl w:val="354C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3B6588"/>
    <w:multiLevelType w:val="multilevel"/>
    <w:tmpl w:val="B19AF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E130C07"/>
    <w:multiLevelType w:val="hybridMultilevel"/>
    <w:tmpl w:val="33327678"/>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21" w15:restartNumberingAfterBreak="0">
    <w:nsid w:val="72630E55"/>
    <w:multiLevelType w:val="hybridMultilevel"/>
    <w:tmpl w:val="805481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1D1B65"/>
    <w:multiLevelType w:val="hybridMultilevel"/>
    <w:tmpl w:val="51E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56507"/>
    <w:multiLevelType w:val="hybridMultilevel"/>
    <w:tmpl w:val="1132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058236">
    <w:abstractNumId w:val="21"/>
  </w:num>
  <w:num w:numId="2" w16cid:durableId="1788162458">
    <w:abstractNumId w:val="3"/>
  </w:num>
  <w:num w:numId="3" w16cid:durableId="2072656837">
    <w:abstractNumId w:val="10"/>
  </w:num>
  <w:num w:numId="4" w16cid:durableId="931007342">
    <w:abstractNumId w:val="20"/>
  </w:num>
  <w:num w:numId="5" w16cid:durableId="1816724769">
    <w:abstractNumId w:val="12"/>
  </w:num>
  <w:num w:numId="6" w16cid:durableId="182059760">
    <w:abstractNumId w:val="0"/>
  </w:num>
  <w:num w:numId="7" w16cid:durableId="882642226">
    <w:abstractNumId w:val="13"/>
  </w:num>
  <w:num w:numId="8" w16cid:durableId="11104337">
    <w:abstractNumId w:val="1"/>
  </w:num>
  <w:num w:numId="9" w16cid:durableId="896355227">
    <w:abstractNumId w:val="5"/>
  </w:num>
  <w:num w:numId="10" w16cid:durableId="978609010">
    <w:abstractNumId w:val="7"/>
  </w:num>
  <w:num w:numId="11" w16cid:durableId="406922499">
    <w:abstractNumId w:val="8"/>
  </w:num>
  <w:num w:numId="12" w16cid:durableId="1106970445">
    <w:abstractNumId w:val="23"/>
  </w:num>
  <w:num w:numId="13" w16cid:durableId="733161159">
    <w:abstractNumId w:val="2"/>
  </w:num>
  <w:num w:numId="14" w16cid:durableId="1792475585">
    <w:abstractNumId w:val="11"/>
  </w:num>
  <w:num w:numId="15" w16cid:durableId="1191646873">
    <w:abstractNumId w:val="4"/>
  </w:num>
  <w:num w:numId="16" w16cid:durableId="1297031799">
    <w:abstractNumId w:val="18"/>
  </w:num>
  <w:num w:numId="17" w16cid:durableId="1096364488">
    <w:abstractNumId w:val="22"/>
  </w:num>
  <w:num w:numId="18" w16cid:durableId="1251349768">
    <w:abstractNumId w:val="14"/>
  </w:num>
  <w:num w:numId="19" w16cid:durableId="1073547032">
    <w:abstractNumId w:val="16"/>
  </w:num>
  <w:num w:numId="20" w16cid:durableId="1284847486">
    <w:abstractNumId w:val="6"/>
  </w:num>
  <w:num w:numId="21" w16cid:durableId="19715477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5469563">
    <w:abstractNumId w:val="9"/>
  </w:num>
  <w:num w:numId="23" w16cid:durableId="848837552">
    <w:abstractNumId w:val="15"/>
  </w:num>
  <w:num w:numId="24" w16cid:durableId="343628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55"/>
    <w:rsid w:val="0001294B"/>
    <w:rsid w:val="00034BD1"/>
    <w:rsid w:val="00035058"/>
    <w:rsid w:val="000527A3"/>
    <w:rsid w:val="000617F9"/>
    <w:rsid w:val="00061B7E"/>
    <w:rsid w:val="00062924"/>
    <w:rsid w:val="00082748"/>
    <w:rsid w:val="000A2F09"/>
    <w:rsid w:val="000A3DB3"/>
    <w:rsid w:val="000A526B"/>
    <w:rsid w:val="000C0B0E"/>
    <w:rsid w:val="000C1E35"/>
    <w:rsid w:val="000D7B26"/>
    <w:rsid w:val="000E1C10"/>
    <w:rsid w:val="000E7780"/>
    <w:rsid w:val="000F1D5B"/>
    <w:rsid w:val="00105FB4"/>
    <w:rsid w:val="001145AD"/>
    <w:rsid w:val="001177AC"/>
    <w:rsid w:val="001209C9"/>
    <w:rsid w:val="0012671B"/>
    <w:rsid w:val="00134A30"/>
    <w:rsid w:val="00142945"/>
    <w:rsid w:val="00143945"/>
    <w:rsid w:val="00147E61"/>
    <w:rsid w:val="001634C0"/>
    <w:rsid w:val="00173D12"/>
    <w:rsid w:val="00177B52"/>
    <w:rsid w:val="0018128A"/>
    <w:rsid w:val="00182CEC"/>
    <w:rsid w:val="0019535C"/>
    <w:rsid w:val="001C1F46"/>
    <w:rsid w:val="001E4C32"/>
    <w:rsid w:val="001E67C3"/>
    <w:rsid w:val="001F1003"/>
    <w:rsid w:val="001F4397"/>
    <w:rsid w:val="0021398C"/>
    <w:rsid w:val="00222910"/>
    <w:rsid w:val="00233285"/>
    <w:rsid w:val="00236297"/>
    <w:rsid w:val="00241EF8"/>
    <w:rsid w:val="00243A58"/>
    <w:rsid w:val="00275D45"/>
    <w:rsid w:val="00290AF3"/>
    <w:rsid w:val="0029683B"/>
    <w:rsid w:val="002A74BE"/>
    <w:rsid w:val="002B2673"/>
    <w:rsid w:val="002B3B3D"/>
    <w:rsid w:val="002B7E85"/>
    <w:rsid w:val="002C65AE"/>
    <w:rsid w:val="002D3ACB"/>
    <w:rsid w:val="002D79B3"/>
    <w:rsid w:val="002E22EA"/>
    <w:rsid w:val="002F2770"/>
    <w:rsid w:val="002F4433"/>
    <w:rsid w:val="0030256E"/>
    <w:rsid w:val="00315265"/>
    <w:rsid w:val="00316C7D"/>
    <w:rsid w:val="00321840"/>
    <w:rsid w:val="003333DB"/>
    <w:rsid w:val="00335570"/>
    <w:rsid w:val="003876ED"/>
    <w:rsid w:val="003A0CDD"/>
    <w:rsid w:val="003B161A"/>
    <w:rsid w:val="003B3845"/>
    <w:rsid w:val="003D6476"/>
    <w:rsid w:val="003F0059"/>
    <w:rsid w:val="003F2428"/>
    <w:rsid w:val="003F3D1F"/>
    <w:rsid w:val="003F435D"/>
    <w:rsid w:val="003F445B"/>
    <w:rsid w:val="003F7C04"/>
    <w:rsid w:val="003F7D98"/>
    <w:rsid w:val="00401174"/>
    <w:rsid w:val="00410258"/>
    <w:rsid w:val="004102CB"/>
    <w:rsid w:val="004276A1"/>
    <w:rsid w:val="004358E6"/>
    <w:rsid w:val="00435E87"/>
    <w:rsid w:val="0045053F"/>
    <w:rsid w:val="0045712B"/>
    <w:rsid w:val="004627E1"/>
    <w:rsid w:val="00480C4E"/>
    <w:rsid w:val="004958A7"/>
    <w:rsid w:val="004A4347"/>
    <w:rsid w:val="004B2C92"/>
    <w:rsid w:val="004D6908"/>
    <w:rsid w:val="004E4347"/>
    <w:rsid w:val="00521ACA"/>
    <w:rsid w:val="00523F25"/>
    <w:rsid w:val="005242F7"/>
    <w:rsid w:val="00542027"/>
    <w:rsid w:val="00553172"/>
    <w:rsid w:val="005575BB"/>
    <w:rsid w:val="00584663"/>
    <w:rsid w:val="00584DB9"/>
    <w:rsid w:val="00586BD4"/>
    <w:rsid w:val="00592838"/>
    <w:rsid w:val="0059643C"/>
    <w:rsid w:val="005A6CBE"/>
    <w:rsid w:val="005C0E08"/>
    <w:rsid w:val="005C20EF"/>
    <w:rsid w:val="005C258C"/>
    <w:rsid w:val="005C4CC1"/>
    <w:rsid w:val="005C768A"/>
    <w:rsid w:val="005D0916"/>
    <w:rsid w:val="005D4AC4"/>
    <w:rsid w:val="005E0937"/>
    <w:rsid w:val="005E1D65"/>
    <w:rsid w:val="005E3954"/>
    <w:rsid w:val="005F0963"/>
    <w:rsid w:val="005F4175"/>
    <w:rsid w:val="006071F2"/>
    <w:rsid w:val="0061423A"/>
    <w:rsid w:val="00616C21"/>
    <w:rsid w:val="00621D2D"/>
    <w:rsid w:val="00623481"/>
    <w:rsid w:val="00624A74"/>
    <w:rsid w:val="00655076"/>
    <w:rsid w:val="00664199"/>
    <w:rsid w:val="00664221"/>
    <w:rsid w:val="0066683E"/>
    <w:rsid w:val="006676B4"/>
    <w:rsid w:val="006740B0"/>
    <w:rsid w:val="006751B4"/>
    <w:rsid w:val="00675F61"/>
    <w:rsid w:val="00681011"/>
    <w:rsid w:val="006872D3"/>
    <w:rsid w:val="006A2862"/>
    <w:rsid w:val="006A562F"/>
    <w:rsid w:val="006C3C11"/>
    <w:rsid w:val="006D4229"/>
    <w:rsid w:val="006F2099"/>
    <w:rsid w:val="006F6C51"/>
    <w:rsid w:val="00710E00"/>
    <w:rsid w:val="00714054"/>
    <w:rsid w:val="007320F1"/>
    <w:rsid w:val="00733631"/>
    <w:rsid w:val="00734B83"/>
    <w:rsid w:val="00737125"/>
    <w:rsid w:val="007458FE"/>
    <w:rsid w:val="0077551E"/>
    <w:rsid w:val="00786E3E"/>
    <w:rsid w:val="007C6901"/>
    <w:rsid w:val="007D0F11"/>
    <w:rsid w:val="007D2952"/>
    <w:rsid w:val="007E4EFB"/>
    <w:rsid w:val="007F11E6"/>
    <w:rsid w:val="007F2966"/>
    <w:rsid w:val="008106EA"/>
    <w:rsid w:val="008155EF"/>
    <w:rsid w:val="00821062"/>
    <w:rsid w:val="00842A24"/>
    <w:rsid w:val="00845C98"/>
    <w:rsid w:val="008509A4"/>
    <w:rsid w:val="008520C0"/>
    <w:rsid w:val="0085529A"/>
    <w:rsid w:val="00865516"/>
    <w:rsid w:val="00867933"/>
    <w:rsid w:val="00876F88"/>
    <w:rsid w:val="00886D7E"/>
    <w:rsid w:val="008925D2"/>
    <w:rsid w:val="00896FEF"/>
    <w:rsid w:val="008B56B2"/>
    <w:rsid w:val="008C1855"/>
    <w:rsid w:val="008C4B12"/>
    <w:rsid w:val="008C5713"/>
    <w:rsid w:val="008D280D"/>
    <w:rsid w:val="008D307C"/>
    <w:rsid w:val="008E2309"/>
    <w:rsid w:val="00907654"/>
    <w:rsid w:val="00907EF7"/>
    <w:rsid w:val="00910F8E"/>
    <w:rsid w:val="00915B86"/>
    <w:rsid w:val="0092353C"/>
    <w:rsid w:val="00930D6B"/>
    <w:rsid w:val="0094375C"/>
    <w:rsid w:val="00971BA4"/>
    <w:rsid w:val="00986C79"/>
    <w:rsid w:val="009B39EB"/>
    <w:rsid w:val="009B5CD6"/>
    <w:rsid w:val="009C0376"/>
    <w:rsid w:val="009C31D8"/>
    <w:rsid w:val="009C7309"/>
    <w:rsid w:val="009F2C02"/>
    <w:rsid w:val="00A03328"/>
    <w:rsid w:val="00A05E0C"/>
    <w:rsid w:val="00A24796"/>
    <w:rsid w:val="00A40218"/>
    <w:rsid w:val="00A43FD1"/>
    <w:rsid w:val="00A46E3B"/>
    <w:rsid w:val="00A47743"/>
    <w:rsid w:val="00A5150F"/>
    <w:rsid w:val="00A53416"/>
    <w:rsid w:val="00A55CB3"/>
    <w:rsid w:val="00A60DA0"/>
    <w:rsid w:val="00A634CF"/>
    <w:rsid w:val="00A63C71"/>
    <w:rsid w:val="00A71A7F"/>
    <w:rsid w:val="00A92C26"/>
    <w:rsid w:val="00AA1F39"/>
    <w:rsid w:val="00AA2E1A"/>
    <w:rsid w:val="00AB6586"/>
    <w:rsid w:val="00AB6BDD"/>
    <w:rsid w:val="00AD1542"/>
    <w:rsid w:val="00AD55CF"/>
    <w:rsid w:val="00AE301F"/>
    <w:rsid w:val="00AE44A4"/>
    <w:rsid w:val="00B02E7E"/>
    <w:rsid w:val="00B038F1"/>
    <w:rsid w:val="00B21A97"/>
    <w:rsid w:val="00B359B1"/>
    <w:rsid w:val="00B41FFD"/>
    <w:rsid w:val="00B72CC2"/>
    <w:rsid w:val="00B80168"/>
    <w:rsid w:val="00B86589"/>
    <w:rsid w:val="00B87003"/>
    <w:rsid w:val="00B9138A"/>
    <w:rsid w:val="00B9231E"/>
    <w:rsid w:val="00B96F71"/>
    <w:rsid w:val="00BA4F5F"/>
    <w:rsid w:val="00BB3A83"/>
    <w:rsid w:val="00BB6688"/>
    <w:rsid w:val="00BC6645"/>
    <w:rsid w:val="00BD02AA"/>
    <w:rsid w:val="00C05F1C"/>
    <w:rsid w:val="00C069D5"/>
    <w:rsid w:val="00C17570"/>
    <w:rsid w:val="00C20D34"/>
    <w:rsid w:val="00C3621F"/>
    <w:rsid w:val="00C529B8"/>
    <w:rsid w:val="00C63267"/>
    <w:rsid w:val="00C75E5D"/>
    <w:rsid w:val="00CB2B33"/>
    <w:rsid w:val="00CB4C9D"/>
    <w:rsid w:val="00CC1004"/>
    <w:rsid w:val="00CC7573"/>
    <w:rsid w:val="00CD38F3"/>
    <w:rsid w:val="00CD6F22"/>
    <w:rsid w:val="00CE7852"/>
    <w:rsid w:val="00CF51C0"/>
    <w:rsid w:val="00D0013B"/>
    <w:rsid w:val="00D13099"/>
    <w:rsid w:val="00D13EAC"/>
    <w:rsid w:val="00D232D9"/>
    <w:rsid w:val="00D245D5"/>
    <w:rsid w:val="00D34B16"/>
    <w:rsid w:val="00D447BD"/>
    <w:rsid w:val="00D602C5"/>
    <w:rsid w:val="00D61534"/>
    <w:rsid w:val="00D6357B"/>
    <w:rsid w:val="00D7090C"/>
    <w:rsid w:val="00D942A4"/>
    <w:rsid w:val="00DA6A60"/>
    <w:rsid w:val="00DB42A5"/>
    <w:rsid w:val="00DB6ADD"/>
    <w:rsid w:val="00DC60A8"/>
    <w:rsid w:val="00DD6A8C"/>
    <w:rsid w:val="00DD743A"/>
    <w:rsid w:val="00E03F0B"/>
    <w:rsid w:val="00E24858"/>
    <w:rsid w:val="00E440E5"/>
    <w:rsid w:val="00E60760"/>
    <w:rsid w:val="00E70556"/>
    <w:rsid w:val="00E95729"/>
    <w:rsid w:val="00E9697F"/>
    <w:rsid w:val="00EA5EED"/>
    <w:rsid w:val="00EA7B85"/>
    <w:rsid w:val="00EE2D86"/>
    <w:rsid w:val="00EE7C9C"/>
    <w:rsid w:val="00F054F5"/>
    <w:rsid w:val="00F328FC"/>
    <w:rsid w:val="00F35A8E"/>
    <w:rsid w:val="00F43E49"/>
    <w:rsid w:val="00F521A8"/>
    <w:rsid w:val="00F53CBE"/>
    <w:rsid w:val="00F6031B"/>
    <w:rsid w:val="00F60460"/>
    <w:rsid w:val="00F72F64"/>
    <w:rsid w:val="00F856B9"/>
    <w:rsid w:val="00F87590"/>
    <w:rsid w:val="00F90331"/>
    <w:rsid w:val="00F96F96"/>
    <w:rsid w:val="00FA4EF1"/>
    <w:rsid w:val="00FA6482"/>
    <w:rsid w:val="00FB4DAF"/>
    <w:rsid w:val="00FB52AC"/>
    <w:rsid w:val="00FC1314"/>
    <w:rsid w:val="00FD2014"/>
    <w:rsid w:val="00FD6BAC"/>
    <w:rsid w:val="00FE2B75"/>
    <w:rsid w:val="00FE5588"/>
    <w:rsid w:val="00F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C22E"/>
  <w15:docId w15:val="{B32089DF-4289-4075-9C5D-35700C52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058"/>
    <w:rPr>
      <w:rFonts w:ascii="Arial" w:hAnsi="Arial"/>
      <w:sz w:val="24"/>
    </w:rPr>
  </w:style>
  <w:style w:type="paragraph" w:styleId="Heading1">
    <w:name w:val="heading 1"/>
    <w:basedOn w:val="Normal"/>
    <w:next w:val="Normal"/>
    <w:link w:val="Heading1Char"/>
    <w:uiPriority w:val="9"/>
    <w:qFormat/>
    <w:rsid w:val="00DD743A"/>
    <w:pPr>
      <w:keepNext/>
      <w:keepLines/>
      <w:spacing w:before="480" w:after="0" w:line="240" w:lineRule="auto"/>
      <w:ind w:left="284" w:hanging="284"/>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958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07EF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E093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855"/>
    <w:rPr>
      <w:sz w:val="16"/>
      <w:szCs w:val="16"/>
    </w:rPr>
  </w:style>
  <w:style w:type="paragraph" w:styleId="CommentText">
    <w:name w:val="annotation text"/>
    <w:basedOn w:val="Normal"/>
    <w:link w:val="CommentTextChar"/>
    <w:uiPriority w:val="99"/>
    <w:unhideWhenUsed/>
    <w:rsid w:val="008C1855"/>
    <w:pPr>
      <w:spacing w:line="240" w:lineRule="auto"/>
    </w:pPr>
    <w:rPr>
      <w:sz w:val="20"/>
      <w:szCs w:val="20"/>
    </w:rPr>
  </w:style>
  <w:style w:type="character" w:customStyle="1" w:styleId="CommentTextChar">
    <w:name w:val="Comment Text Char"/>
    <w:basedOn w:val="DefaultParagraphFont"/>
    <w:link w:val="CommentText"/>
    <w:uiPriority w:val="99"/>
    <w:rsid w:val="008C18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1855"/>
    <w:rPr>
      <w:b/>
      <w:bCs/>
    </w:rPr>
  </w:style>
  <w:style w:type="character" w:customStyle="1" w:styleId="CommentSubjectChar">
    <w:name w:val="Comment Subject Char"/>
    <w:basedOn w:val="CommentTextChar"/>
    <w:link w:val="CommentSubject"/>
    <w:uiPriority w:val="99"/>
    <w:semiHidden/>
    <w:rsid w:val="008C1855"/>
    <w:rPr>
      <w:rFonts w:ascii="Arial" w:hAnsi="Arial"/>
      <w:b/>
      <w:bCs/>
      <w:sz w:val="20"/>
      <w:szCs w:val="20"/>
    </w:rPr>
  </w:style>
  <w:style w:type="paragraph" w:styleId="BalloonText">
    <w:name w:val="Balloon Text"/>
    <w:basedOn w:val="Normal"/>
    <w:link w:val="BalloonTextChar"/>
    <w:uiPriority w:val="99"/>
    <w:semiHidden/>
    <w:unhideWhenUsed/>
    <w:rsid w:val="008C1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855"/>
    <w:rPr>
      <w:rFonts w:ascii="Segoe UI" w:hAnsi="Segoe UI" w:cs="Segoe UI"/>
      <w:sz w:val="18"/>
      <w:szCs w:val="18"/>
    </w:rPr>
  </w:style>
  <w:style w:type="paragraph" w:styleId="Header">
    <w:name w:val="header"/>
    <w:basedOn w:val="Normal"/>
    <w:link w:val="HeaderChar"/>
    <w:uiPriority w:val="99"/>
    <w:unhideWhenUsed/>
    <w:rsid w:val="00C75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5D"/>
    <w:rPr>
      <w:rFonts w:ascii="Arial" w:hAnsi="Arial"/>
      <w:sz w:val="24"/>
    </w:rPr>
  </w:style>
  <w:style w:type="paragraph" w:styleId="Footer">
    <w:name w:val="footer"/>
    <w:basedOn w:val="Normal"/>
    <w:link w:val="FooterChar"/>
    <w:uiPriority w:val="99"/>
    <w:unhideWhenUsed/>
    <w:rsid w:val="00C75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5D"/>
    <w:rPr>
      <w:rFonts w:ascii="Arial" w:hAnsi="Arial"/>
      <w:sz w:val="24"/>
    </w:rPr>
  </w:style>
  <w:style w:type="paragraph" w:styleId="ListParagraph">
    <w:name w:val="List Paragraph"/>
    <w:basedOn w:val="Normal"/>
    <w:uiPriority w:val="34"/>
    <w:qFormat/>
    <w:rsid w:val="00675F61"/>
    <w:pPr>
      <w:ind w:left="720"/>
      <w:contextualSpacing/>
    </w:pPr>
  </w:style>
  <w:style w:type="table" w:styleId="TableGrid">
    <w:name w:val="Table Grid"/>
    <w:basedOn w:val="TableNormal"/>
    <w:uiPriority w:val="59"/>
    <w:rsid w:val="00E9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551E"/>
    <w:rPr>
      <w:i/>
      <w:iCs/>
    </w:rPr>
  </w:style>
  <w:style w:type="character" w:customStyle="1" w:styleId="Heading2Char">
    <w:name w:val="Heading 2 Char"/>
    <w:basedOn w:val="DefaultParagraphFont"/>
    <w:link w:val="Heading2"/>
    <w:uiPriority w:val="9"/>
    <w:rsid w:val="004958A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958A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4958A7"/>
    <w:rPr>
      <w:color w:val="0000FF"/>
      <w:u w:val="single"/>
    </w:rPr>
  </w:style>
  <w:style w:type="character" w:customStyle="1" w:styleId="Heading1Char">
    <w:name w:val="Heading 1 Char"/>
    <w:basedOn w:val="DefaultParagraphFont"/>
    <w:link w:val="Heading1"/>
    <w:uiPriority w:val="9"/>
    <w:rsid w:val="00DD743A"/>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907EF7"/>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rsid w:val="005E0937"/>
    <w:rPr>
      <w:rFonts w:asciiTheme="majorHAnsi" w:eastAsiaTheme="majorEastAsia" w:hAnsiTheme="majorHAnsi" w:cstheme="majorBidi"/>
      <w:b/>
      <w:bCs/>
      <w:i/>
      <w:iCs/>
      <w:color w:val="5B9BD5" w:themeColor="accent1"/>
      <w:sz w:val="24"/>
    </w:rPr>
  </w:style>
  <w:style w:type="paragraph" w:styleId="BodyText2">
    <w:name w:val="Body Text 2"/>
    <w:basedOn w:val="Normal"/>
    <w:link w:val="BodyText2Char"/>
    <w:uiPriority w:val="99"/>
    <w:semiHidden/>
    <w:unhideWhenUsed/>
    <w:rsid w:val="003F0059"/>
    <w:pPr>
      <w:spacing w:after="120" w:line="480" w:lineRule="auto"/>
    </w:pPr>
    <w:rPr>
      <w:rFonts w:ascii="Calibri" w:hAnsi="Calibri" w:cs="Calibri"/>
      <w:sz w:val="22"/>
    </w:rPr>
  </w:style>
  <w:style w:type="character" w:customStyle="1" w:styleId="BodyText2Char">
    <w:name w:val="Body Text 2 Char"/>
    <w:basedOn w:val="DefaultParagraphFont"/>
    <w:link w:val="BodyText2"/>
    <w:uiPriority w:val="99"/>
    <w:semiHidden/>
    <w:rsid w:val="003F0059"/>
    <w:rPr>
      <w:rFonts w:ascii="Calibri" w:hAnsi="Calibri" w:cs="Calibri"/>
    </w:rPr>
  </w:style>
  <w:style w:type="paragraph" w:styleId="NoSpacing">
    <w:name w:val="No Spacing"/>
    <w:uiPriority w:val="1"/>
    <w:qFormat/>
    <w:rsid w:val="004276A1"/>
    <w:pPr>
      <w:spacing w:after="0" w:line="240" w:lineRule="auto"/>
    </w:pPr>
    <w:rPr>
      <w:rFonts w:ascii="Arial" w:hAnsi="Arial"/>
      <w:sz w:val="24"/>
    </w:rPr>
  </w:style>
  <w:style w:type="paragraph" w:customStyle="1" w:styleId="Body">
    <w:name w:val="Body"/>
    <w:rsid w:val="009F2C02"/>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TableParagraph">
    <w:name w:val="Table Paragraph"/>
    <w:basedOn w:val="Normal"/>
    <w:uiPriority w:val="1"/>
    <w:qFormat/>
    <w:rsid w:val="00F60460"/>
    <w:pPr>
      <w:widowControl w:val="0"/>
      <w:autoSpaceDE w:val="0"/>
      <w:autoSpaceDN w:val="0"/>
      <w:spacing w:after="0" w:line="240" w:lineRule="auto"/>
    </w:pPr>
    <w:rPr>
      <w:rFonts w:eastAsia="Arial" w:cs="Arial"/>
      <w:sz w:val="22"/>
      <w:lang w:val="en-US"/>
    </w:rPr>
  </w:style>
  <w:style w:type="character" w:customStyle="1" w:styleId="hgkelc">
    <w:name w:val="hgkelc"/>
    <w:basedOn w:val="DefaultParagraphFont"/>
    <w:rsid w:val="001177AC"/>
  </w:style>
  <w:style w:type="character" w:customStyle="1" w:styleId="kx21rb">
    <w:name w:val="kx21rb"/>
    <w:basedOn w:val="DefaultParagraphFont"/>
    <w:rsid w:val="001177AC"/>
  </w:style>
  <w:style w:type="character" w:styleId="Strong">
    <w:name w:val="Strong"/>
    <w:basedOn w:val="DefaultParagraphFont"/>
    <w:uiPriority w:val="22"/>
    <w:qFormat/>
    <w:rsid w:val="007D2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3833">
      <w:bodyDiv w:val="1"/>
      <w:marLeft w:val="0"/>
      <w:marRight w:val="0"/>
      <w:marTop w:val="0"/>
      <w:marBottom w:val="0"/>
      <w:divBdr>
        <w:top w:val="none" w:sz="0" w:space="0" w:color="auto"/>
        <w:left w:val="none" w:sz="0" w:space="0" w:color="auto"/>
        <w:bottom w:val="none" w:sz="0" w:space="0" w:color="auto"/>
        <w:right w:val="none" w:sz="0" w:space="0" w:color="auto"/>
      </w:divBdr>
    </w:div>
    <w:div w:id="115104651">
      <w:bodyDiv w:val="1"/>
      <w:marLeft w:val="0"/>
      <w:marRight w:val="0"/>
      <w:marTop w:val="0"/>
      <w:marBottom w:val="0"/>
      <w:divBdr>
        <w:top w:val="none" w:sz="0" w:space="0" w:color="auto"/>
        <w:left w:val="none" w:sz="0" w:space="0" w:color="auto"/>
        <w:bottom w:val="none" w:sz="0" w:space="0" w:color="auto"/>
        <w:right w:val="none" w:sz="0" w:space="0" w:color="auto"/>
      </w:divBdr>
    </w:div>
    <w:div w:id="135953579">
      <w:bodyDiv w:val="1"/>
      <w:marLeft w:val="0"/>
      <w:marRight w:val="0"/>
      <w:marTop w:val="0"/>
      <w:marBottom w:val="0"/>
      <w:divBdr>
        <w:top w:val="none" w:sz="0" w:space="0" w:color="auto"/>
        <w:left w:val="none" w:sz="0" w:space="0" w:color="auto"/>
        <w:bottom w:val="none" w:sz="0" w:space="0" w:color="auto"/>
        <w:right w:val="none" w:sz="0" w:space="0" w:color="auto"/>
      </w:divBdr>
    </w:div>
    <w:div w:id="823622347">
      <w:bodyDiv w:val="1"/>
      <w:marLeft w:val="0"/>
      <w:marRight w:val="0"/>
      <w:marTop w:val="0"/>
      <w:marBottom w:val="0"/>
      <w:divBdr>
        <w:top w:val="none" w:sz="0" w:space="0" w:color="auto"/>
        <w:left w:val="none" w:sz="0" w:space="0" w:color="auto"/>
        <w:bottom w:val="none" w:sz="0" w:space="0" w:color="auto"/>
        <w:right w:val="none" w:sz="0" w:space="0" w:color="auto"/>
      </w:divBdr>
    </w:div>
    <w:div w:id="1325166333">
      <w:bodyDiv w:val="1"/>
      <w:marLeft w:val="0"/>
      <w:marRight w:val="0"/>
      <w:marTop w:val="0"/>
      <w:marBottom w:val="0"/>
      <w:divBdr>
        <w:top w:val="none" w:sz="0" w:space="0" w:color="auto"/>
        <w:left w:val="none" w:sz="0" w:space="0" w:color="auto"/>
        <w:bottom w:val="none" w:sz="0" w:space="0" w:color="auto"/>
        <w:right w:val="none" w:sz="0" w:space="0" w:color="auto"/>
      </w:divBdr>
    </w:div>
    <w:div w:id="1338968688">
      <w:bodyDiv w:val="1"/>
      <w:marLeft w:val="0"/>
      <w:marRight w:val="0"/>
      <w:marTop w:val="0"/>
      <w:marBottom w:val="0"/>
      <w:divBdr>
        <w:top w:val="none" w:sz="0" w:space="0" w:color="auto"/>
        <w:left w:val="none" w:sz="0" w:space="0" w:color="auto"/>
        <w:bottom w:val="none" w:sz="0" w:space="0" w:color="auto"/>
        <w:right w:val="none" w:sz="0" w:space="0" w:color="auto"/>
      </w:divBdr>
    </w:div>
    <w:div w:id="1869100612">
      <w:bodyDiv w:val="1"/>
      <w:marLeft w:val="0"/>
      <w:marRight w:val="0"/>
      <w:marTop w:val="0"/>
      <w:marBottom w:val="0"/>
      <w:divBdr>
        <w:top w:val="none" w:sz="0" w:space="0" w:color="auto"/>
        <w:left w:val="none" w:sz="0" w:space="0" w:color="auto"/>
        <w:bottom w:val="none" w:sz="0" w:space="0" w:color="auto"/>
        <w:right w:val="none" w:sz="0" w:space="0" w:color="auto"/>
      </w:divBdr>
    </w:div>
    <w:div w:id="2088573807">
      <w:bodyDiv w:val="1"/>
      <w:marLeft w:val="0"/>
      <w:marRight w:val="0"/>
      <w:marTop w:val="0"/>
      <w:marBottom w:val="0"/>
      <w:divBdr>
        <w:top w:val="none" w:sz="0" w:space="0" w:color="auto"/>
        <w:left w:val="none" w:sz="0" w:space="0" w:color="auto"/>
        <w:bottom w:val="none" w:sz="0" w:space="0" w:color="auto"/>
        <w:right w:val="none" w:sz="0" w:space="0" w:color="auto"/>
      </w:divBdr>
    </w:div>
    <w:div w:id="21271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27C7E1FFFC746964ED13B33AC2904" ma:contentTypeVersion="12" ma:contentTypeDescription="Create a new document." ma:contentTypeScope="" ma:versionID="5d6fbeab99dd91d91afec968ddcc33d3">
  <xsd:schema xmlns:xsd="http://www.w3.org/2001/XMLSchema" xmlns:xs="http://www.w3.org/2001/XMLSchema" xmlns:p="http://schemas.microsoft.com/office/2006/metadata/properties" xmlns:ns2="224c5b71-02e5-415b-9573-1a12d5ea0627" xmlns:ns3="83759e68-087a-4f1a-9937-9b5a575b35d7" targetNamespace="http://schemas.microsoft.com/office/2006/metadata/properties" ma:root="true" ma:fieldsID="e626f83e5de91b217cc7bbaca9945316" ns2:_="" ns3:_="">
    <xsd:import namespace="224c5b71-02e5-415b-9573-1a12d5ea0627"/>
    <xsd:import namespace="83759e68-087a-4f1a-9937-9b5a575b3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5b71-02e5-415b-9573-1a12d5ea0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0a0045-7617-4155-b04a-7f8faf59d0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9e68-087a-4f1a-9937-9b5a575b3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51bbe7-06c7-425b-b77b-894f2b7de2e1}" ma:internalName="TaxCatchAll" ma:showField="CatchAllData" ma:web="83759e68-087a-4f1a-9937-9b5a575b35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c5b71-02e5-415b-9573-1a12d5ea0627">
      <Terms xmlns="http://schemas.microsoft.com/office/infopath/2007/PartnerControls"/>
    </lcf76f155ced4ddcb4097134ff3c332f>
    <TaxCatchAll xmlns="83759e68-087a-4f1a-9937-9b5a575b35d7" xsi:nil="true"/>
  </documentManagement>
</p:properties>
</file>

<file path=customXml/itemProps1.xml><?xml version="1.0" encoding="utf-8"?>
<ds:datastoreItem xmlns:ds="http://schemas.openxmlformats.org/officeDocument/2006/customXml" ds:itemID="{535267D9-A22A-4995-B46A-18C983DC0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5b71-02e5-415b-9573-1a12d5ea0627"/>
    <ds:schemaRef ds:uri="83759e68-087a-4f1a-9937-9b5a575b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93B38-6854-4B59-BA01-F925D1624712}">
  <ds:schemaRefs>
    <ds:schemaRef ds:uri="http://schemas.microsoft.com/sharepoint/v3/contenttype/forms"/>
  </ds:schemaRefs>
</ds:datastoreItem>
</file>

<file path=customXml/itemProps3.xml><?xml version="1.0" encoding="utf-8"?>
<ds:datastoreItem xmlns:ds="http://schemas.openxmlformats.org/officeDocument/2006/customXml" ds:itemID="{09611490-DBAC-4EB3-9518-64EE22AFE544}">
  <ds:schemaRefs>
    <ds:schemaRef ds:uri="http://schemas.microsoft.com/office/2006/metadata/properties"/>
    <ds:schemaRef ds:uri="http://schemas.microsoft.com/office/infopath/2007/PartnerControls"/>
    <ds:schemaRef ds:uri="224c5b71-02e5-415b-9573-1a12d5ea0627"/>
    <ds:schemaRef ds:uri="83759e68-087a-4f1a-9937-9b5a575b35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Taylor</dc:creator>
  <cp:lastModifiedBy>Andy Mellors</cp:lastModifiedBy>
  <cp:revision>2</cp:revision>
  <cp:lastPrinted>2024-06-21T14:05:00Z</cp:lastPrinted>
  <dcterms:created xsi:type="dcterms:W3CDTF">2024-06-21T14:31:00Z</dcterms:created>
  <dcterms:modified xsi:type="dcterms:W3CDTF">2024-06-21T14:31:00Z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0x010100CE427C7E1FFFC746964ED13B33AC2904</vt:lpwstr>
  </property>
  <property fmtid="{D5CDD505-2E9C-101B-9397-08002B2CF9AE}" pid="3" name="Order">
    <vt:r8>91800</vt:r8>
  </property>
  <property fmtid="{D5CDD505-2E9C-101B-9397-08002B2CF9AE}" pid="4" name="MediaServiceImageTags">
    <vt:lpwstr/>
  </property>
</Properties>
</file>